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EEDC1" w14:textId="1CDF6F86" w:rsidR="007437B4" w:rsidRPr="00EB5690" w:rsidRDefault="007437B4" w:rsidP="007437B4">
      <w:pPr>
        <w:spacing w:after="0" w:line="360" w:lineRule="auto"/>
        <w:jc w:val="both"/>
        <w:rPr>
          <w:rFonts w:ascii="Cambria" w:hAnsi="Cambria"/>
          <w:b/>
          <w:bCs/>
          <w:sz w:val="28"/>
          <w:szCs w:val="28"/>
        </w:rPr>
      </w:pPr>
      <w:r w:rsidRPr="00EB5690">
        <w:rPr>
          <w:rFonts w:ascii="Cambria" w:hAnsi="Cambria"/>
          <w:b/>
          <w:bCs/>
          <w:sz w:val="28"/>
          <w:szCs w:val="28"/>
        </w:rPr>
        <w:t>EXCELENTÍSSIMO SENHOR DOUTOR JUIZ DE DIREITO DA 3ª VARA CÍVEL DA COMARCA DE SALVADOR/BA</w:t>
      </w:r>
    </w:p>
    <w:p w14:paraId="629406F6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63DC0340" w14:textId="1FCD62BC" w:rsidR="007437B4" w:rsidRPr="00EB5690" w:rsidRDefault="007437B4" w:rsidP="007437B4">
      <w:pPr>
        <w:spacing w:after="0" w:line="360" w:lineRule="auto"/>
        <w:jc w:val="both"/>
        <w:rPr>
          <w:rFonts w:ascii="Cambria" w:hAnsi="Cambria"/>
          <w:b/>
          <w:bCs/>
          <w:sz w:val="28"/>
          <w:szCs w:val="28"/>
        </w:rPr>
      </w:pPr>
      <w:r w:rsidRPr="007437B4">
        <w:rPr>
          <w:rFonts w:ascii="Cambria" w:hAnsi="Cambria"/>
          <w:sz w:val="28"/>
          <w:szCs w:val="28"/>
        </w:rPr>
        <w:t xml:space="preserve">Processo nº: </w:t>
      </w:r>
      <w:r w:rsidR="00033E4C" w:rsidRPr="00EB5690">
        <w:rPr>
          <w:rFonts w:ascii="Cambria" w:hAnsi="Cambria"/>
          <w:b/>
          <w:bCs/>
          <w:sz w:val="28"/>
          <w:szCs w:val="28"/>
        </w:rPr>
        <w:t>0</w:t>
      </w:r>
      <w:r w:rsidRPr="00EB5690">
        <w:rPr>
          <w:rFonts w:ascii="Cambria" w:hAnsi="Cambria"/>
          <w:b/>
          <w:bCs/>
          <w:sz w:val="28"/>
          <w:szCs w:val="28"/>
        </w:rPr>
        <w:t>0</w:t>
      </w:r>
      <w:r w:rsidR="00033E4C" w:rsidRPr="00EB5690">
        <w:rPr>
          <w:rFonts w:ascii="Cambria" w:hAnsi="Cambria"/>
          <w:b/>
          <w:bCs/>
          <w:sz w:val="28"/>
          <w:szCs w:val="28"/>
        </w:rPr>
        <w:t>00000</w:t>
      </w:r>
      <w:r w:rsidRPr="00EB5690">
        <w:rPr>
          <w:rFonts w:ascii="Cambria" w:hAnsi="Cambria"/>
          <w:b/>
          <w:bCs/>
          <w:sz w:val="28"/>
          <w:szCs w:val="28"/>
        </w:rPr>
        <w:t>-</w:t>
      </w:r>
      <w:r w:rsidR="00033E4C" w:rsidRPr="00EB5690">
        <w:rPr>
          <w:rFonts w:ascii="Cambria" w:hAnsi="Cambria"/>
          <w:b/>
          <w:bCs/>
          <w:sz w:val="28"/>
          <w:szCs w:val="28"/>
        </w:rPr>
        <w:t>00</w:t>
      </w:r>
      <w:r w:rsidRPr="00EB5690">
        <w:rPr>
          <w:rFonts w:ascii="Cambria" w:hAnsi="Cambria"/>
          <w:b/>
          <w:bCs/>
          <w:sz w:val="28"/>
          <w:szCs w:val="28"/>
        </w:rPr>
        <w:t>.202</w:t>
      </w:r>
      <w:r w:rsidR="00033E4C" w:rsidRPr="00EB5690">
        <w:rPr>
          <w:rFonts w:ascii="Cambria" w:hAnsi="Cambria"/>
          <w:b/>
          <w:bCs/>
          <w:sz w:val="28"/>
          <w:szCs w:val="28"/>
        </w:rPr>
        <w:t>6</w:t>
      </w:r>
      <w:r w:rsidRPr="00EB5690">
        <w:rPr>
          <w:rFonts w:ascii="Cambria" w:hAnsi="Cambria"/>
          <w:b/>
          <w:bCs/>
          <w:sz w:val="28"/>
          <w:szCs w:val="28"/>
        </w:rPr>
        <w:t>.8.05.0001</w:t>
      </w:r>
    </w:p>
    <w:p w14:paraId="0A75A012" w14:textId="4DD6C5CD" w:rsidR="007437B4" w:rsidRPr="00EB5690" w:rsidRDefault="007437B4" w:rsidP="007437B4">
      <w:pPr>
        <w:spacing w:after="0" w:line="360" w:lineRule="auto"/>
        <w:jc w:val="both"/>
        <w:rPr>
          <w:rFonts w:ascii="Cambria" w:hAnsi="Cambria"/>
          <w:b/>
          <w:bCs/>
          <w:sz w:val="28"/>
          <w:szCs w:val="28"/>
        </w:rPr>
      </w:pPr>
      <w:r w:rsidRPr="007437B4">
        <w:rPr>
          <w:rFonts w:ascii="Cambria" w:hAnsi="Cambria"/>
          <w:sz w:val="28"/>
          <w:szCs w:val="28"/>
        </w:rPr>
        <w:t xml:space="preserve">Apelante: </w:t>
      </w:r>
      <w:r w:rsidR="00033E4C" w:rsidRPr="00EB5690">
        <w:rPr>
          <w:rFonts w:ascii="Cambria" w:hAnsi="Cambria"/>
          <w:b/>
          <w:bCs/>
          <w:sz w:val="28"/>
          <w:szCs w:val="28"/>
        </w:rPr>
        <w:t>NOME DO CLIENTE</w:t>
      </w:r>
    </w:p>
    <w:p w14:paraId="5D8A82A4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7437B4">
        <w:rPr>
          <w:rFonts w:ascii="Cambria" w:hAnsi="Cambria"/>
          <w:sz w:val="28"/>
          <w:szCs w:val="28"/>
        </w:rPr>
        <w:t xml:space="preserve">Apelado: </w:t>
      </w:r>
      <w:r w:rsidRPr="00EB5690">
        <w:rPr>
          <w:rFonts w:ascii="Cambria" w:hAnsi="Cambria"/>
          <w:b/>
          <w:bCs/>
          <w:sz w:val="28"/>
          <w:szCs w:val="28"/>
        </w:rPr>
        <w:t>BANCO DO BRASIL S/A</w:t>
      </w:r>
    </w:p>
    <w:p w14:paraId="25C2BEF2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1AE6B783" w14:textId="77777777" w:rsidR="00033E4C" w:rsidRDefault="00033E4C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08B1576E" w14:textId="42C62160" w:rsidR="007437B4" w:rsidRPr="007437B4" w:rsidRDefault="00033E4C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EB5690">
        <w:rPr>
          <w:rFonts w:ascii="Cambria" w:hAnsi="Cambria"/>
          <w:b/>
          <w:bCs/>
          <w:sz w:val="28"/>
          <w:szCs w:val="28"/>
        </w:rPr>
        <w:t>NOME DO CLIENTE</w:t>
      </w:r>
      <w:r w:rsidR="007437B4" w:rsidRPr="007437B4">
        <w:rPr>
          <w:rFonts w:ascii="Cambria" w:hAnsi="Cambria"/>
          <w:sz w:val="28"/>
          <w:szCs w:val="28"/>
        </w:rPr>
        <w:t xml:space="preserve">, já qualificado nos autos da </w:t>
      </w:r>
      <w:r w:rsidR="007437B4" w:rsidRPr="00D65DE7">
        <w:rPr>
          <w:rFonts w:ascii="Cambria" w:hAnsi="Cambria"/>
          <w:b/>
          <w:bCs/>
          <w:sz w:val="28"/>
          <w:szCs w:val="28"/>
        </w:rPr>
        <w:t>AÇÃO DE OBRIGAÇÃO DE FAZER C/C DANOS MATERIAIS E MORAIS</w:t>
      </w:r>
      <w:r w:rsidR="007437B4" w:rsidRPr="007437B4">
        <w:rPr>
          <w:rFonts w:ascii="Cambria" w:hAnsi="Cambria"/>
          <w:sz w:val="28"/>
          <w:szCs w:val="28"/>
        </w:rPr>
        <w:t xml:space="preserve"> que move em face do BANCO DO BRASIL S/A, inconformado com a sentença que reconheceu a prescrição e extinguiu o feito com resolução de mérito, vem, respeitosamente, à presença de Vossa Excelência, com fundamento nos </w:t>
      </w:r>
      <w:proofErr w:type="spellStart"/>
      <w:r w:rsidR="007437B4" w:rsidRPr="007437B4">
        <w:rPr>
          <w:rFonts w:ascii="Cambria" w:hAnsi="Cambria"/>
          <w:sz w:val="28"/>
          <w:szCs w:val="28"/>
        </w:rPr>
        <w:t>arts</w:t>
      </w:r>
      <w:proofErr w:type="spellEnd"/>
      <w:r w:rsidR="007437B4" w:rsidRPr="007437B4">
        <w:rPr>
          <w:rFonts w:ascii="Cambria" w:hAnsi="Cambria"/>
          <w:sz w:val="28"/>
          <w:szCs w:val="28"/>
        </w:rPr>
        <w:t>. 1.009 e seguintes do Código de Processo Civil, interpor</w:t>
      </w:r>
    </w:p>
    <w:p w14:paraId="1673D5FA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74E4A871" w14:textId="38B093CD" w:rsidR="007437B4" w:rsidRPr="00D65DE7" w:rsidRDefault="007437B4" w:rsidP="00D65DE7">
      <w:pPr>
        <w:spacing w:after="0" w:line="360" w:lineRule="auto"/>
        <w:jc w:val="center"/>
        <w:rPr>
          <w:rFonts w:ascii="Cambria" w:hAnsi="Cambria"/>
          <w:b/>
          <w:bCs/>
          <w:sz w:val="28"/>
          <w:szCs w:val="28"/>
        </w:rPr>
      </w:pPr>
      <w:r w:rsidRPr="00D65DE7">
        <w:rPr>
          <w:rFonts w:ascii="Cambria" w:hAnsi="Cambria"/>
          <w:b/>
          <w:bCs/>
          <w:sz w:val="28"/>
          <w:szCs w:val="28"/>
        </w:rPr>
        <w:t>RECURSO DE APELAÇÃO</w:t>
      </w:r>
    </w:p>
    <w:p w14:paraId="031EE1FA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52CFEF16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7437B4">
        <w:rPr>
          <w:rFonts w:ascii="Cambria" w:hAnsi="Cambria"/>
          <w:sz w:val="28"/>
          <w:szCs w:val="28"/>
        </w:rPr>
        <w:t xml:space="preserve">Requer seja o presente recurso recebido </w:t>
      </w:r>
      <w:r w:rsidRPr="00887EA0">
        <w:rPr>
          <w:rFonts w:ascii="Cambria" w:hAnsi="Cambria"/>
          <w:sz w:val="28"/>
          <w:szCs w:val="28"/>
        </w:rPr>
        <w:t>nos efeitos legais e remetido</w:t>
      </w:r>
      <w:r w:rsidRPr="007437B4">
        <w:rPr>
          <w:rFonts w:ascii="Cambria" w:hAnsi="Cambria"/>
          <w:sz w:val="28"/>
          <w:szCs w:val="28"/>
        </w:rPr>
        <w:t xml:space="preserve"> ao Egrégio Tribunal de Justiça do Estado da Bahia, com as inclusas razões.</w:t>
      </w:r>
    </w:p>
    <w:p w14:paraId="0E1412D6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0168328F" w14:textId="1802205D" w:rsidR="007437B4" w:rsidRPr="00D65DE7" w:rsidRDefault="007437B4" w:rsidP="007437B4">
      <w:pPr>
        <w:spacing w:after="0" w:line="360" w:lineRule="auto"/>
        <w:jc w:val="both"/>
        <w:rPr>
          <w:rFonts w:ascii="Cambria" w:hAnsi="Cambria"/>
          <w:b/>
          <w:bCs/>
          <w:sz w:val="28"/>
          <w:szCs w:val="28"/>
        </w:rPr>
      </w:pPr>
      <w:r w:rsidRPr="00D65DE7">
        <w:rPr>
          <w:rFonts w:ascii="Cambria" w:hAnsi="Cambria"/>
          <w:b/>
          <w:bCs/>
          <w:sz w:val="28"/>
          <w:szCs w:val="28"/>
        </w:rPr>
        <w:t xml:space="preserve"> I – TEMPESTIVIDADE</w:t>
      </w:r>
    </w:p>
    <w:p w14:paraId="15684309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5BE074C1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7437B4">
        <w:rPr>
          <w:rFonts w:ascii="Cambria" w:hAnsi="Cambria"/>
          <w:sz w:val="28"/>
          <w:szCs w:val="28"/>
        </w:rPr>
        <w:t>A sentença foi publicada em ***/***/2026, iniciando-se a contagem do prazo recursal no primeiro dia útil subsequente. Assim, é tempestiva a presente apelação, interposta dentro do prazo legal de 15 (quinze) dias úteis, nos termos do art. 1.003, §5º, do CPC.</w:t>
      </w:r>
    </w:p>
    <w:p w14:paraId="4CEBF634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7C0BDB76" w14:textId="33182874" w:rsidR="007437B4" w:rsidRPr="00D65DE7" w:rsidRDefault="007437B4" w:rsidP="007437B4">
      <w:pPr>
        <w:spacing w:after="0" w:line="360" w:lineRule="auto"/>
        <w:jc w:val="both"/>
        <w:rPr>
          <w:rFonts w:ascii="Cambria" w:hAnsi="Cambria"/>
          <w:b/>
          <w:bCs/>
          <w:sz w:val="28"/>
          <w:szCs w:val="28"/>
        </w:rPr>
      </w:pPr>
      <w:r w:rsidRPr="00D65DE7">
        <w:rPr>
          <w:rFonts w:ascii="Cambria" w:hAnsi="Cambria"/>
          <w:b/>
          <w:bCs/>
          <w:sz w:val="28"/>
          <w:szCs w:val="28"/>
        </w:rPr>
        <w:t>II – PREPARO</w:t>
      </w:r>
    </w:p>
    <w:p w14:paraId="6DEF2FD5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0C0AE2DC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7437B4">
        <w:rPr>
          <w:rFonts w:ascii="Cambria" w:hAnsi="Cambria"/>
          <w:sz w:val="28"/>
          <w:szCs w:val="28"/>
        </w:rPr>
        <w:t>O Apelante é beneficiário da gratuidade da justiça, razão pela qual está dispensado do recolhimento do preparo, nos termos do art. 98, §1º, do CPC.</w:t>
      </w:r>
    </w:p>
    <w:p w14:paraId="18ADDBBB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2E081A7E" w14:textId="5BFD7B96" w:rsidR="003374E3" w:rsidRPr="003374E3" w:rsidRDefault="003374E3" w:rsidP="003374E3">
      <w:pPr>
        <w:spacing w:after="0" w:line="360" w:lineRule="auto"/>
        <w:jc w:val="center"/>
        <w:rPr>
          <w:rFonts w:ascii="Cambria" w:hAnsi="Cambria"/>
          <w:sz w:val="28"/>
          <w:szCs w:val="28"/>
        </w:rPr>
      </w:pPr>
      <w:r w:rsidRPr="003374E3">
        <w:rPr>
          <w:rFonts w:ascii="Cambria" w:hAnsi="Cambria"/>
          <w:sz w:val="28"/>
          <w:szCs w:val="28"/>
        </w:rPr>
        <w:t>Termos em que,</w:t>
      </w:r>
    </w:p>
    <w:p w14:paraId="07ED2706" w14:textId="77777777" w:rsidR="003374E3" w:rsidRPr="003374E3" w:rsidRDefault="003374E3" w:rsidP="003374E3">
      <w:pPr>
        <w:spacing w:after="0" w:line="360" w:lineRule="auto"/>
        <w:jc w:val="center"/>
        <w:rPr>
          <w:rFonts w:ascii="Cambria" w:hAnsi="Cambria"/>
          <w:sz w:val="28"/>
          <w:szCs w:val="28"/>
        </w:rPr>
      </w:pPr>
      <w:r w:rsidRPr="003374E3">
        <w:rPr>
          <w:rFonts w:ascii="Cambria" w:hAnsi="Cambria"/>
          <w:sz w:val="28"/>
          <w:szCs w:val="28"/>
        </w:rPr>
        <w:t>Pede deferimento.</w:t>
      </w:r>
    </w:p>
    <w:p w14:paraId="2FFEBD17" w14:textId="77777777" w:rsidR="003374E3" w:rsidRPr="003374E3" w:rsidRDefault="003374E3" w:rsidP="003374E3">
      <w:pPr>
        <w:spacing w:after="0" w:line="360" w:lineRule="auto"/>
        <w:jc w:val="center"/>
        <w:rPr>
          <w:rFonts w:ascii="Cambria" w:hAnsi="Cambria"/>
          <w:sz w:val="28"/>
          <w:szCs w:val="28"/>
        </w:rPr>
      </w:pPr>
      <w:r w:rsidRPr="003374E3">
        <w:rPr>
          <w:rFonts w:ascii="Cambria" w:hAnsi="Cambria"/>
          <w:sz w:val="28"/>
          <w:szCs w:val="28"/>
        </w:rPr>
        <w:t>Data</w:t>
      </w:r>
    </w:p>
    <w:p w14:paraId="24121B61" w14:textId="5AA8DFC4" w:rsidR="007437B4" w:rsidRDefault="003374E3" w:rsidP="003374E3">
      <w:pPr>
        <w:spacing w:after="0" w:line="360" w:lineRule="auto"/>
        <w:jc w:val="center"/>
        <w:rPr>
          <w:rFonts w:ascii="Cambria" w:hAnsi="Cambria"/>
          <w:sz w:val="28"/>
          <w:szCs w:val="28"/>
        </w:rPr>
      </w:pPr>
      <w:r w:rsidRPr="003374E3">
        <w:rPr>
          <w:rFonts w:ascii="Cambria" w:hAnsi="Cambria"/>
          <w:sz w:val="28"/>
          <w:szCs w:val="28"/>
        </w:rPr>
        <w:t>Advogado (OAB)</w:t>
      </w:r>
    </w:p>
    <w:p w14:paraId="7926AE66" w14:textId="77777777" w:rsidR="003374E3" w:rsidRPr="007437B4" w:rsidRDefault="003374E3" w:rsidP="003374E3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65B12304" w14:textId="579AACCB" w:rsidR="007437B4" w:rsidRPr="003374E3" w:rsidRDefault="007437B4" w:rsidP="007437B4">
      <w:pPr>
        <w:spacing w:after="0" w:line="360" w:lineRule="auto"/>
        <w:jc w:val="both"/>
        <w:rPr>
          <w:rFonts w:ascii="Cambria" w:hAnsi="Cambria"/>
          <w:b/>
          <w:bCs/>
          <w:sz w:val="28"/>
          <w:szCs w:val="28"/>
        </w:rPr>
      </w:pPr>
      <w:r w:rsidRPr="003374E3">
        <w:rPr>
          <w:rFonts w:ascii="Cambria" w:hAnsi="Cambria"/>
          <w:b/>
          <w:bCs/>
          <w:sz w:val="28"/>
          <w:szCs w:val="28"/>
        </w:rPr>
        <w:t>RAZÕES DE APELAÇÃO</w:t>
      </w:r>
    </w:p>
    <w:p w14:paraId="579934EE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2B907E8E" w14:textId="5420DAAF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7437B4">
        <w:rPr>
          <w:rFonts w:ascii="Cambria" w:hAnsi="Cambria"/>
          <w:sz w:val="28"/>
          <w:szCs w:val="28"/>
        </w:rPr>
        <w:t>EGRÉGIO TRIBUNAL DE JUSTIÇA DO ESTADO DA BAHIA</w:t>
      </w:r>
    </w:p>
    <w:p w14:paraId="32B1B2AB" w14:textId="77777777" w:rsidR="003374E3" w:rsidRDefault="003374E3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6153DD3C" w14:textId="7F45C55E" w:rsid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7437B4">
        <w:rPr>
          <w:rFonts w:ascii="Cambria" w:hAnsi="Cambria"/>
          <w:sz w:val="28"/>
          <w:szCs w:val="28"/>
        </w:rPr>
        <w:t>COLENDA CÂMARA</w:t>
      </w:r>
    </w:p>
    <w:p w14:paraId="338C28E8" w14:textId="77777777" w:rsidR="003374E3" w:rsidRPr="007437B4" w:rsidRDefault="003374E3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695B23DB" w14:textId="756ACE5F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7437B4">
        <w:rPr>
          <w:rFonts w:ascii="Cambria" w:hAnsi="Cambria"/>
          <w:sz w:val="28"/>
          <w:szCs w:val="28"/>
        </w:rPr>
        <w:t>EMÉRITOS DESEMBARGADORES</w:t>
      </w:r>
    </w:p>
    <w:p w14:paraId="687B7953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18BFB5A4" w14:textId="2BDC7DB1" w:rsidR="007437B4" w:rsidRPr="003374E3" w:rsidRDefault="007437B4" w:rsidP="007437B4">
      <w:pPr>
        <w:spacing w:after="0" w:line="360" w:lineRule="auto"/>
        <w:jc w:val="both"/>
        <w:rPr>
          <w:rFonts w:ascii="Cambria" w:hAnsi="Cambria"/>
          <w:b/>
          <w:bCs/>
          <w:sz w:val="28"/>
          <w:szCs w:val="28"/>
        </w:rPr>
      </w:pPr>
      <w:r w:rsidRPr="003374E3">
        <w:rPr>
          <w:rFonts w:ascii="Cambria" w:hAnsi="Cambria"/>
          <w:b/>
          <w:bCs/>
          <w:sz w:val="28"/>
          <w:szCs w:val="28"/>
        </w:rPr>
        <w:t>1. SÍNTESE DO CASO</w:t>
      </w:r>
    </w:p>
    <w:p w14:paraId="0DA81CE3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0568EECF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7437B4">
        <w:rPr>
          <w:rFonts w:ascii="Cambria" w:hAnsi="Cambria"/>
          <w:sz w:val="28"/>
          <w:szCs w:val="28"/>
        </w:rPr>
        <w:t>A sentença recorrida reconheceu a prescrição da pretensão autoral com fundamento no Tema Repetitivo 1150 do STJ e na interpretação firmada no Tema 1387, entendendo que o saque integral realizado em 30/06/2000 teria deflagrado o prazo prescricional decenal, esgotado em 30/06/2010.</w:t>
      </w:r>
    </w:p>
    <w:p w14:paraId="259E3379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41296C3E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7437B4">
        <w:rPr>
          <w:rFonts w:ascii="Cambria" w:hAnsi="Cambria"/>
          <w:sz w:val="28"/>
          <w:szCs w:val="28"/>
        </w:rPr>
        <w:lastRenderedPageBreak/>
        <w:t>Ocorre que a decisão incorre em equívoco interpretativo ao aplicar automaticamente a tese da “ciência na data do saque”, desconsiderando que:</w:t>
      </w:r>
    </w:p>
    <w:p w14:paraId="6D2A64B5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0E6659F6" w14:textId="5EE135C8" w:rsidR="007437B4" w:rsidRDefault="007437B4" w:rsidP="003374E3">
      <w:pPr>
        <w:spacing w:after="0" w:line="360" w:lineRule="auto"/>
        <w:ind w:left="1416"/>
        <w:jc w:val="both"/>
        <w:rPr>
          <w:rFonts w:ascii="Cambria" w:hAnsi="Cambria"/>
          <w:sz w:val="28"/>
          <w:szCs w:val="28"/>
        </w:rPr>
      </w:pPr>
      <w:r w:rsidRPr="007437B4">
        <w:rPr>
          <w:rFonts w:ascii="Cambria" w:hAnsi="Cambria"/>
          <w:sz w:val="28"/>
          <w:szCs w:val="28"/>
        </w:rPr>
        <w:t>Não houve fornecimento de histórico analítico detalhado ao Apelante;</w:t>
      </w:r>
    </w:p>
    <w:p w14:paraId="103D8028" w14:textId="77777777" w:rsidR="003374E3" w:rsidRPr="007437B4" w:rsidRDefault="003374E3" w:rsidP="003374E3">
      <w:pPr>
        <w:spacing w:after="0" w:line="360" w:lineRule="auto"/>
        <w:ind w:left="1416"/>
        <w:jc w:val="both"/>
        <w:rPr>
          <w:rFonts w:ascii="Cambria" w:hAnsi="Cambria"/>
          <w:sz w:val="28"/>
          <w:szCs w:val="28"/>
        </w:rPr>
      </w:pPr>
    </w:p>
    <w:p w14:paraId="0795DC8E" w14:textId="25C1BECC" w:rsidR="007437B4" w:rsidRDefault="007437B4" w:rsidP="003374E3">
      <w:pPr>
        <w:spacing w:after="0" w:line="360" w:lineRule="auto"/>
        <w:ind w:left="1416"/>
        <w:jc w:val="both"/>
        <w:rPr>
          <w:rFonts w:ascii="Cambria" w:hAnsi="Cambria"/>
          <w:sz w:val="28"/>
          <w:szCs w:val="28"/>
        </w:rPr>
      </w:pPr>
      <w:r w:rsidRPr="007437B4">
        <w:rPr>
          <w:rFonts w:ascii="Cambria" w:hAnsi="Cambria"/>
          <w:sz w:val="28"/>
          <w:szCs w:val="28"/>
        </w:rPr>
        <w:t>A ciência inequívoca da lesão somente ocorreu com a obtenção posterior dos extratos analíticos;</w:t>
      </w:r>
    </w:p>
    <w:p w14:paraId="5EAB8CCB" w14:textId="77777777" w:rsidR="003374E3" w:rsidRPr="007437B4" w:rsidRDefault="003374E3" w:rsidP="003374E3">
      <w:pPr>
        <w:spacing w:after="0" w:line="360" w:lineRule="auto"/>
        <w:ind w:left="1416"/>
        <w:jc w:val="both"/>
        <w:rPr>
          <w:rFonts w:ascii="Cambria" w:hAnsi="Cambria"/>
          <w:sz w:val="28"/>
          <w:szCs w:val="28"/>
        </w:rPr>
      </w:pPr>
    </w:p>
    <w:p w14:paraId="1B3AF12E" w14:textId="5AB945E9" w:rsidR="007437B4" w:rsidRPr="007437B4" w:rsidRDefault="007437B4" w:rsidP="003374E3">
      <w:pPr>
        <w:spacing w:after="0" w:line="360" w:lineRule="auto"/>
        <w:ind w:left="1416"/>
        <w:jc w:val="both"/>
        <w:rPr>
          <w:rFonts w:ascii="Cambria" w:hAnsi="Cambria"/>
          <w:sz w:val="28"/>
          <w:szCs w:val="28"/>
        </w:rPr>
      </w:pPr>
      <w:r w:rsidRPr="007437B4">
        <w:rPr>
          <w:rFonts w:ascii="Cambria" w:hAnsi="Cambria"/>
          <w:sz w:val="28"/>
          <w:szCs w:val="28"/>
        </w:rPr>
        <w:t>A controvérsia envolve falha na gestão e ausência de aplicação correta dos índices legais, e não mera insurgência contra o valor sacado.</w:t>
      </w:r>
    </w:p>
    <w:p w14:paraId="3F433107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7733F592" w14:textId="5398A598" w:rsidR="007437B4" w:rsidRPr="003374E3" w:rsidRDefault="007437B4" w:rsidP="007437B4">
      <w:pPr>
        <w:spacing w:after="0" w:line="360" w:lineRule="auto"/>
        <w:jc w:val="both"/>
        <w:rPr>
          <w:rFonts w:ascii="Cambria" w:hAnsi="Cambria"/>
          <w:b/>
          <w:bCs/>
          <w:sz w:val="28"/>
          <w:szCs w:val="28"/>
        </w:rPr>
      </w:pPr>
      <w:r w:rsidRPr="003374E3">
        <w:rPr>
          <w:rFonts w:ascii="Cambria" w:hAnsi="Cambria"/>
          <w:b/>
          <w:bCs/>
          <w:sz w:val="28"/>
          <w:szCs w:val="28"/>
        </w:rPr>
        <w:t>2. DA INCORRETA FIXAÇÃO DO TERMO INICIAL DA PRESCRIÇÃO</w:t>
      </w:r>
    </w:p>
    <w:p w14:paraId="1F60E730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6391EDBC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7437B4">
        <w:rPr>
          <w:rFonts w:ascii="Cambria" w:hAnsi="Cambria"/>
          <w:sz w:val="28"/>
          <w:szCs w:val="28"/>
        </w:rPr>
        <w:t>O próprio Tema 1150 do STJ fixou que:</w:t>
      </w:r>
    </w:p>
    <w:p w14:paraId="705A2235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4CDF2E15" w14:textId="2F4C49BC" w:rsidR="007437B4" w:rsidRPr="007437B4" w:rsidRDefault="007437B4" w:rsidP="003374E3">
      <w:pPr>
        <w:spacing w:after="0" w:line="360" w:lineRule="auto"/>
        <w:ind w:left="1416"/>
        <w:jc w:val="both"/>
        <w:rPr>
          <w:rFonts w:ascii="Cambria" w:hAnsi="Cambria"/>
          <w:sz w:val="28"/>
          <w:szCs w:val="28"/>
        </w:rPr>
      </w:pPr>
      <w:r w:rsidRPr="007437B4">
        <w:rPr>
          <w:rFonts w:ascii="Cambria" w:hAnsi="Cambria"/>
          <w:sz w:val="28"/>
          <w:szCs w:val="28"/>
        </w:rPr>
        <w:t>“O termo inicial para a contagem do prazo prescricional é o dia em que o titular, comprovadamente, toma ciência dos desfalques realizados na conta individual vinculada ao Pasep.”</w:t>
      </w:r>
    </w:p>
    <w:p w14:paraId="28F7CBF3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4557E778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7437B4">
        <w:rPr>
          <w:rFonts w:ascii="Cambria" w:hAnsi="Cambria"/>
          <w:sz w:val="28"/>
          <w:szCs w:val="28"/>
        </w:rPr>
        <w:t xml:space="preserve">A sentença recorrida presumiu que essa ciência ocorreu automaticamente na data do saque (30/06/2000), mas tal conclusão viola a teoria da </w:t>
      </w:r>
      <w:proofErr w:type="spellStart"/>
      <w:r w:rsidRPr="003374E3">
        <w:rPr>
          <w:rFonts w:ascii="Cambria" w:hAnsi="Cambria"/>
          <w:i/>
          <w:iCs/>
          <w:sz w:val="28"/>
          <w:szCs w:val="28"/>
        </w:rPr>
        <w:t>actio</w:t>
      </w:r>
      <w:proofErr w:type="spellEnd"/>
      <w:r w:rsidRPr="003374E3">
        <w:rPr>
          <w:rFonts w:ascii="Cambria" w:hAnsi="Cambria"/>
          <w:i/>
          <w:iCs/>
          <w:sz w:val="28"/>
          <w:szCs w:val="28"/>
        </w:rPr>
        <w:t xml:space="preserve"> nata</w:t>
      </w:r>
      <w:r w:rsidRPr="007437B4">
        <w:rPr>
          <w:rFonts w:ascii="Cambria" w:hAnsi="Cambria"/>
          <w:sz w:val="28"/>
          <w:szCs w:val="28"/>
        </w:rPr>
        <w:t xml:space="preserve"> em sua dimensão subjetiva.</w:t>
      </w:r>
    </w:p>
    <w:p w14:paraId="5857B74A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381F83C6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7437B4">
        <w:rPr>
          <w:rFonts w:ascii="Cambria" w:hAnsi="Cambria"/>
          <w:sz w:val="28"/>
          <w:szCs w:val="28"/>
        </w:rPr>
        <w:lastRenderedPageBreak/>
        <w:t xml:space="preserve">Conforme reconhecido em sentença paradigma proferida pela 16ª Vara Cível da Comarca de Belo Horizonte/MG (Processo nº </w:t>
      </w:r>
      <w:r w:rsidRPr="003374E3">
        <w:rPr>
          <w:rFonts w:ascii="Cambria" w:hAnsi="Cambria"/>
          <w:b/>
          <w:bCs/>
          <w:sz w:val="28"/>
          <w:szCs w:val="28"/>
        </w:rPr>
        <w:t>1013474-38.2025.8.13.0024</w:t>
      </w:r>
      <w:r w:rsidRPr="007437B4">
        <w:rPr>
          <w:rFonts w:ascii="Cambria" w:hAnsi="Cambria"/>
          <w:sz w:val="28"/>
          <w:szCs w:val="28"/>
        </w:rPr>
        <w:t>), restou expressamente consignado:</w:t>
      </w:r>
    </w:p>
    <w:p w14:paraId="2C0F205E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5B597D07" w14:textId="7C6266FA" w:rsidR="007437B4" w:rsidRPr="003374E3" w:rsidRDefault="007437B4" w:rsidP="003374E3">
      <w:pPr>
        <w:spacing w:after="0" w:line="360" w:lineRule="auto"/>
        <w:ind w:left="1416"/>
        <w:jc w:val="both"/>
        <w:rPr>
          <w:rFonts w:ascii="Cambria" w:hAnsi="Cambria"/>
          <w:b/>
          <w:bCs/>
          <w:sz w:val="28"/>
          <w:szCs w:val="28"/>
        </w:rPr>
      </w:pPr>
      <w:r w:rsidRPr="003374E3">
        <w:rPr>
          <w:rFonts w:ascii="Cambria" w:hAnsi="Cambria"/>
          <w:b/>
          <w:bCs/>
          <w:sz w:val="28"/>
          <w:szCs w:val="28"/>
        </w:rPr>
        <w:t xml:space="preserve">“A mera realização de saque, sem o fornecimento concomitante de um histórico analítico que permitisse ao servidor compreender a formação do saldo, não deflagra o prazo prescricional para questionar a metodologia de cálculo ou desfalques pretéritos ocultos.” </w:t>
      </w:r>
    </w:p>
    <w:p w14:paraId="131E6F4E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11A0BD2F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7437B4">
        <w:rPr>
          <w:rFonts w:ascii="Cambria" w:hAnsi="Cambria"/>
          <w:sz w:val="28"/>
          <w:szCs w:val="28"/>
        </w:rPr>
        <w:t>E ainda:</w:t>
      </w:r>
    </w:p>
    <w:p w14:paraId="5E86703D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668CCEE4" w14:textId="62A5A89D" w:rsidR="007437B4" w:rsidRPr="003374E3" w:rsidRDefault="007437B4" w:rsidP="003374E3">
      <w:pPr>
        <w:spacing w:after="0" w:line="360" w:lineRule="auto"/>
        <w:ind w:left="1416"/>
        <w:jc w:val="both"/>
        <w:rPr>
          <w:rFonts w:ascii="Cambria" w:hAnsi="Cambria"/>
          <w:b/>
          <w:bCs/>
          <w:sz w:val="28"/>
          <w:szCs w:val="28"/>
        </w:rPr>
      </w:pPr>
      <w:r w:rsidRPr="003374E3">
        <w:rPr>
          <w:rFonts w:ascii="Cambria" w:hAnsi="Cambria"/>
          <w:b/>
          <w:bCs/>
          <w:sz w:val="28"/>
          <w:szCs w:val="28"/>
        </w:rPr>
        <w:t xml:space="preserve">“A tese da ‘ciência na data do saque’ presume que o cidadão médio teria capacidade de, no ato do recebimento, auditar mentalmente décadas de atualizações financeiras complexas, o que foge à razoabilidade e ao princípio da boa-fé objetiva.” </w:t>
      </w:r>
    </w:p>
    <w:p w14:paraId="42E9EEE6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237EC0E1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7437B4">
        <w:rPr>
          <w:rFonts w:ascii="Cambria" w:hAnsi="Cambria"/>
          <w:sz w:val="28"/>
          <w:szCs w:val="28"/>
        </w:rPr>
        <w:t>Tal fundamentação é absolutamente aplicável ao presente caso.</w:t>
      </w:r>
    </w:p>
    <w:p w14:paraId="062AAC30" w14:textId="77777777" w:rsidR="003374E3" w:rsidRDefault="003374E3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73858A0D" w14:textId="0380FB05" w:rsidR="007437B4" w:rsidRPr="00C0623C" w:rsidRDefault="007437B4" w:rsidP="007437B4">
      <w:pPr>
        <w:spacing w:after="0" w:line="360" w:lineRule="auto"/>
        <w:jc w:val="both"/>
        <w:rPr>
          <w:rFonts w:ascii="Cambria" w:hAnsi="Cambria"/>
          <w:b/>
          <w:bCs/>
          <w:sz w:val="28"/>
          <w:szCs w:val="28"/>
        </w:rPr>
      </w:pPr>
      <w:r w:rsidRPr="00C0623C">
        <w:rPr>
          <w:rFonts w:ascii="Cambria" w:hAnsi="Cambria"/>
          <w:b/>
          <w:bCs/>
          <w:sz w:val="28"/>
          <w:szCs w:val="28"/>
        </w:rPr>
        <w:t>3. DA DISTINÇÃO NECESSÁRIA ENTRE “VALOR RECEBIDO” E “CIÊNCIA DA LESÃO”</w:t>
      </w:r>
    </w:p>
    <w:p w14:paraId="650DFCA5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64A243BE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7437B4">
        <w:rPr>
          <w:rFonts w:ascii="Cambria" w:hAnsi="Cambria"/>
          <w:sz w:val="28"/>
          <w:szCs w:val="28"/>
        </w:rPr>
        <w:t>A sentença recorrida, ao aplicar o entendimento do Tema 1387, desconsiderou elemento essencial: a ciência inequívoca da lesão exige conhecimento da causa do dano.</w:t>
      </w:r>
    </w:p>
    <w:p w14:paraId="400DCF41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6CD4B46C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7437B4">
        <w:rPr>
          <w:rFonts w:ascii="Cambria" w:hAnsi="Cambria"/>
          <w:sz w:val="28"/>
          <w:szCs w:val="28"/>
        </w:rPr>
        <w:lastRenderedPageBreak/>
        <w:t>No caso do PASEP, a formação do saldo envolve:</w:t>
      </w:r>
    </w:p>
    <w:p w14:paraId="371A7BD6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24D6E61A" w14:textId="37706757" w:rsidR="00C0623C" w:rsidRPr="00C0623C" w:rsidRDefault="007437B4" w:rsidP="00C0623C">
      <w:pPr>
        <w:spacing w:after="0" w:line="360" w:lineRule="auto"/>
        <w:ind w:left="1416"/>
        <w:jc w:val="both"/>
        <w:rPr>
          <w:rFonts w:ascii="Cambria" w:hAnsi="Cambria"/>
          <w:b/>
          <w:bCs/>
          <w:sz w:val="28"/>
          <w:szCs w:val="28"/>
        </w:rPr>
      </w:pPr>
      <w:r w:rsidRPr="00C0623C">
        <w:rPr>
          <w:rFonts w:ascii="Cambria" w:hAnsi="Cambria"/>
          <w:b/>
          <w:bCs/>
          <w:sz w:val="28"/>
          <w:szCs w:val="28"/>
        </w:rPr>
        <w:t>Aplicação de índices definidos pelo Conselho Diretor;</w:t>
      </w:r>
    </w:p>
    <w:p w14:paraId="16C5AC99" w14:textId="6E394753" w:rsidR="00C0623C" w:rsidRPr="00C0623C" w:rsidRDefault="007437B4" w:rsidP="00C0623C">
      <w:pPr>
        <w:spacing w:after="0" w:line="360" w:lineRule="auto"/>
        <w:ind w:left="1416"/>
        <w:jc w:val="both"/>
        <w:rPr>
          <w:rFonts w:ascii="Cambria" w:hAnsi="Cambria"/>
          <w:b/>
          <w:bCs/>
          <w:sz w:val="28"/>
          <w:szCs w:val="28"/>
        </w:rPr>
      </w:pPr>
      <w:r w:rsidRPr="00C0623C">
        <w:rPr>
          <w:rFonts w:ascii="Cambria" w:hAnsi="Cambria"/>
          <w:b/>
          <w:bCs/>
          <w:sz w:val="28"/>
          <w:szCs w:val="28"/>
        </w:rPr>
        <w:t>Juros anuais;</w:t>
      </w:r>
    </w:p>
    <w:p w14:paraId="66391891" w14:textId="26722960" w:rsidR="00C0623C" w:rsidRPr="00C0623C" w:rsidRDefault="007437B4" w:rsidP="00C0623C">
      <w:pPr>
        <w:spacing w:after="0" w:line="360" w:lineRule="auto"/>
        <w:ind w:left="1416"/>
        <w:jc w:val="both"/>
        <w:rPr>
          <w:rFonts w:ascii="Cambria" w:hAnsi="Cambria"/>
          <w:b/>
          <w:bCs/>
          <w:sz w:val="28"/>
          <w:szCs w:val="28"/>
        </w:rPr>
      </w:pPr>
      <w:r w:rsidRPr="00C0623C">
        <w:rPr>
          <w:rFonts w:ascii="Cambria" w:hAnsi="Cambria"/>
          <w:b/>
          <w:bCs/>
          <w:sz w:val="28"/>
          <w:szCs w:val="28"/>
        </w:rPr>
        <w:t>Correção monetária;</w:t>
      </w:r>
    </w:p>
    <w:p w14:paraId="4C6FBBE7" w14:textId="07FB3493" w:rsidR="007437B4" w:rsidRPr="00C0623C" w:rsidRDefault="007437B4" w:rsidP="00C0623C">
      <w:pPr>
        <w:spacing w:after="0" w:line="360" w:lineRule="auto"/>
        <w:ind w:left="1416"/>
        <w:jc w:val="both"/>
        <w:rPr>
          <w:rFonts w:ascii="Cambria" w:hAnsi="Cambria"/>
          <w:b/>
          <w:bCs/>
          <w:sz w:val="28"/>
          <w:szCs w:val="28"/>
        </w:rPr>
      </w:pPr>
      <w:r w:rsidRPr="00C0623C">
        <w:rPr>
          <w:rFonts w:ascii="Cambria" w:hAnsi="Cambria"/>
          <w:b/>
          <w:bCs/>
          <w:sz w:val="28"/>
          <w:szCs w:val="28"/>
        </w:rPr>
        <w:t>Eventuais lançamentos a débito.</w:t>
      </w:r>
    </w:p>
    <w:p w14:paraId="75886029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0BDDFD88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7437B4">
        <w:rPr>
          <w:rFonts w:ascii="Cambria" w:hAnsi="Cambria"/>
          <w:sz w:val="28"/>
          <w:szCs w:val="28"/>
        </w:rPr>
        <w:t>Sem extratos analíticos completos e microfilmagens, o servidor não possui condições técnicas de identificar:</w:t>
      </w:r>
    </w:p>
    <w:p w14:paraId="5E540EF7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59CEFB49" w14:textId="1997DDEB" w:rsidR="007437B4" w:rsidRPr="00C0623C" w:rsidRDefault="007437B4" w:rsidP="00C0623C">
      <w:pPr>
        <w:spacing w:after="0" w:line="360" w:lineRule="auto"/>
        <w:ind w:left="1416"/>
        <w:jc w:val="both"/>
        <w:rPr>
          <w:rFonts w:ascii="Cambria" w:hAnsi="Cambria"/>
          <w:b/>
          <w:bCs/>
          <w:sz w:val="28"/>
          <w:szCs w:val="28"/>
        </w:rPr>
      </w:pPr>
      <w:r w:rsidRPr="00C0623C">
        <w:rPr>
          <w:rFonts w:ascii="Cambria" w:hAnsi="Cambria"/>
          <w:b/>
          <w:bCs/>
          <w:sz w:val="28"/>
          <w:szCs w:val="28"/>
        </w:rPr>
        <w:t>Se houve ausência de aplicação de índices;</w:t>
      </w:r>
    </w:p>
    <w:p w14:paraId="748B0C63" w14:textId="5B83B59A" w:rsidR="007437B4" w:rsidRPr="00C0623C" w:rsidRDefault="007437B4" w:rsidP="00C0623C">
      <w:pPr>
        <w:spacing w:after="0" w:line="360" w:lineRule="auto"/>
        <w:ind w:left="1416"/>
        <w:jc w:val="both"/>
        <w:rPr>
          <w:rFonts w:ascii="Cambria" w:hAnsi="Cambria"/>
          <w:b/>
          <w:bCs/>
          <w:sz w:val="28"/>
          <w:szCs w:val="28"/>
        </w:rPr>
      </w:pPr>
      <w:r w:rsidRPr="00C0623C">
        <w:rPr>
          <w:rFonts w:ascii="Cambria" w:hAnsi="Cambria"/>
          <w:b/>
          <w:bCs/>
          <w:sz w:val="28"/>
          <w:szCs w:val="28"/>
        </w:rPr>
        <w:t>Se houve depósitos a menor;</w:t>
      </w:r>
    </w:p>
    <w:p w14:paraId="15672F3F" w14:textId="724FDA12" w:rsidR="007437B4" w:rsidRPr="00C0623C" w:rsidRDefault="007437B4" w:rsidP="00C0623C">
      <w:pPr>
        <w:spacing w:after="0" w:line="360" w:lineRule="auto"/>
        <w:ind w:left="1416"/>
        <w:jc w:val="both"/>
        <w:rPr>
          <w:rFonts w:ascii="Cambria" w:hAnsi="Cambria"/>
          <w:b/>
          <w:bCs/>
          <w:sz w:val="28"/>
          <w:szCs w:val="28"/>
        </w:rPr>
      </w:pPr>
      <w:r w:rsidRPr="00C0623C">
        <w:rPr>
          <w:rFonts w:ascii="Cambria" w:hAnsi="Cambria"/>
          <w:b/>
          <w:bCs/>
          <w:sz w:val="28"/>
          <w:szCs w:val="28"/>
        </w:rPr>
        <w:t>Se houve desfalques;</w:t>
      </w:r>
    </w:p>
    <w:p w14:paraId="328C5256" w14:textId="1E82C3A2" w:rsidR="007437B4" w:rsidRPr="00C0623C" w:rsidRDefault="007437B4" w:rsidP="00C0623C">
      <w:pPr>
        <w:spacing w:after="0" w:line="360" w:lineRule="auto"/>
        <w:ind w:left="1416"/>
        <w:jc w:val="both"/>
        <w:rPr>
          <w:rFonts w:ascii="Cambria" w:hAnsi="Cambria"/>
          <w:b/>
          <w:bCs/>
          <w:sz w:val="28"/>
          <w:szCs w:val="28"/>
        </w:rPr>
      </w:pPr>
      <w:r w:rsidRPr="00C0623C">
        <w:rPr>
          <w:rFonts w:ascii="Cambria" w:hAnsi="Cambria"/>
          <w:b/>
          <w:bCs/>
          <w:sz w:val="28"/>
          <w:szCs w:val="28"/>
        </w:rPr>
        <w:t>Se houve erro na metodologia de cálculo.</w:t>
      </w:r>
    </w:p>
    <w:p w14:paraId="4C3F8DE6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3D339688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7437B4">
        <w:rPr>
          <w:rFonts w:ascii="Cambria" w:hAnsi="Cambria"/>
          <w:sz w:val="28"/>
          <w:szCs w:val="28"/>
        </w:rPr>
        <w:t>A simples ciência do valor final não equivale à ciência da irregularidade.</w:t>
      </w:r>
    </w:p>
    <w:p w14:paraId="7F22C169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7D0217E0" w14:textId="7F492399" w:rsidR="007437B4" w:rsidRPr="00C0623C" w:rsidRDefault="007437B4" w:rsidP="007437B4">
      <w:pPr>
        <w:spacing w:after="0" w:line="360" w:lineRule="auto"/>
        <w:jc w:val="both"/>
        <w:rPr>
          <w:rFonts w:ascii="Cambria" w:hAnsi="Cambria"/>
          <w:b/>
          <w:bCs/>
          <w:sz w:val="28"/>
          <w:szCs w:val="28"/>
        </w:rPr>
      </w:pPr>
      <w:r w:rsidRPr="00C0623C">
        <w:rPr>
          <w:rFonts w:ascii="Cambria" w:hAnsi="Cambria"/>
          <w:b/>
          <w:bCs/>
          <w:sz w:val="28"/>
          <w:szCs w:val="28"/>
        </w:rPr>
        <w:t xml:space="preserve">4. DA APLICAÇÃO CORRETA DA </w:t>
      </w:r>
      <w:r w:rsidRPr="00C0623C">
        <w:rPr>
          <w:rFonts w:ascii="Cambria" w:hAnsi="Cambria"/>
          <w:b/>
          <w:bCs/>
          <w:i/>
          <w:iCs/>
          <w:sz w:val="28"/>
          <w:szCs w:val="28"/>
        </w:rPr>
        <w:t>ACTIO NATA</w:t>
      </w:r>
    </w:p>
    <w:p w14:paraId="545AE11D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3D7AEF60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7437B4">
        <w:rPr>
          <w:rFonts w:ascii="Cambria" w:hAnsi="Cambria"/>
          <w:sz w:val="28"/>
          <w:szCs w:val="28"/>
        </w:rPr>
        <w:t xml:space="preserve">O STJ, no próprio Tema 1150, adotou a teoria da </w:t>
      </w:r>
      <w:proofErr w:type="spellStart"/>
      <w:r w:rsidRPr="00C0623C">
        <w:rPr>
          <w:rFonts w:ascii="Cambria" w:hAnsi="Cambria"/>
          <w:i/>
          <w:iCs/>
          <w:sz w:val="28"/>
          <w:szCs w:val="28"/>
        </w:rPr>
        <w:t>actio</w:t>
      </w:r>
      <w:proofErr w:type="spellEnd"/>
      <w:r w:rsidRPr="00C0623C">
        <w:rPr>
          <w:rFonts w:ascii="Cambria" w:hAnsi="Cambria"/>
          <w:i/>
          <w:iCs/>
          <w:sz w:val="28"/>
          <w:szCs w:val="28"/>
        </w:rPr>
        <w:t xml:space="preserve"> nata</w:t>
      </w:r>
      <w:r w:rsidRPr="007437B4">
        <w:rPr>
          <w:rFonts w:ascii="Cambria" w:hAnsi="Cambria"/>
          <w:sz w:val="28"/>
          <w:szCs w:val="28"/>
        </w:rPr>
        <w:t>. Isso significa que o prazo prescricional se inicia quando a lesão se torna cognoscível.</w:t>
      </w:r>
    </w:p>
    <w:p w14:paraId="303E078C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56B45F3F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7437B4">
        <w:rPr>
          <w:rFonts w:ascii="Cambria" w:hAnsi="Cambria"/>
          <w:sz w:val="28"/>
          <w:szCs w:val="28"/>
        </w:rPr>
        <w:t>A sentença paradigma analisou corretamente esse ponto:</w:t>
      </w:r>
    </w:p>
    <w:p w14:paraId="60B6E879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64015C12" w14:textId="01D92495" w:rsidR="007437B4" w:rsidRPr="001264D9" w:rsidRDefault="007437B4" w:rsidP="001264D9">
      <w:pPr>
        <w:spacing w:after="0" w:line="360" w:lineRule="auto"/>
        <w:ind w:left="1416"/>
        <w:jc w:val="both"/>
        <w:rPr>
          <w:rFonts w:ascii="Cambria" w:hAnsi="Cambria"/>
          <w:b/>
          <w:bCs/>
          <w:sz w:val="28"/>
          <w:szCs w:val="28"/>
        </w:rPr>
      </w:pPr>
      <w:r w:rsidRPr="001264D9">
        <w:rPr>
          <w:rFonts w:ascii="Cambria" w:hAnsi="Cambria"/>
          <w:b/>
          <w:bCs/>
          <w:sz w:val="28"/>
          <w:szCs w:val="28"/>
        </w:rPr>
        <w:t xml:space="preserve">“A ciência inequívoca dos desfalques ou da má gestão pressupõe o acesso aos extratos detalhados e às microfilmagens da conta, que permitem verificar a evolução do saldo ao longo das décadas.” </w:t>
      </w:r>
    </w:p>
    <w:p w14:paraId="233610E2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6C32689E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7437B4">
        <w:rPr>
          <w:rFonts w:ascii="Cambria" w:hAnsi="Cambria"/>
          <w:sz w:val="28"/>
          <w:szCs w:val="28"/>
        </w:rPr>
        <w:t>No presente caso:</w:t>
      </w:r>
    </w:p>
    <w:p w14:paraId="64E47047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2AB44FCD" w14:textId="46275B72" w:rsidR="007437B4" w:rsidRPr="005664F8" w:rsidRDefault="007437B4" w:rsidP="001264D9">
      <w:pPr>
        <w:spacing w:after="0" w:line="360" w:lineRule="auto"/>
        <w:ind w:left="1416"/>
        <w:jc w:val="both"/>
        <w:rPr>
          <w:rFonts w:ascii="Cambria" w:hAnsi="Cambria"/>
          <w:b/>
          <w:bCs/>
          <w:sz w:val="28"/>
          <w:szCs w:val="28"/>
        </w:rPr>
      </w:pPr>
      <w:r w:rsidRPr="005664F8">
        <w:rPr>
          <w:rFonts w:ascii="Cambria" w:hAnsi="Cambria"/>
          <w:b/>
          <w:bCs/>
          <w:sz w:val="28"/>
          <w:szCs w:val="28"/>
        </w:rPr>
        <w:t>Não há prova de que o Apelante tenha recebido extratos analíticos completos em 2000;</w:t>
      </w:r>
    </w:p>
    <w:p w14:paraId="6266368D" w14:textId="6BF08506" w:rsidR="007437B4" w:rsidRPr="005664F8" w:rsidRDefault="007437B4" w:rsidP="001264D9">
      <w:pPr>
        <w:spacing w:after="0" w:line="360" w:lineRule="auto"/>
        <w:ind w:left="1416"/>
        <w:jc w:val="both"/>
        <w:rPr>
          <w:rFonts w:ascii="Cambria" w:hAnsi="Cambria"/>
          <w:b/>
          <w:bCs/>
          <w:sz w:val="28"/>
          <w:szCs w:val="28"/>
        </w:rPr>
      </w:pPr>
      <w:r w:rsidRPr="005664F8">
        <w:rPr>
          <w:rFonts w:ascii="Cambria" w:hAnsi="Cambria"/>
          <w:b/>
          <w:bCs/>
          <w:sz w:val="28"/>
          <w:szCs w:val="28"/>
        </w:rPr>
        <w:t>Não há prova de que tenha sido esclarecido quanto à metodologia de cálculo;</w:t>
      </w:r>
    </w:p>
    <w:p w14:paraId="06479937" w14:textId="0792B330" w:rsidR="007437B4" w:rsidRPr="005664F8" w:rsidRDefault="007437B4" w:rsidP="001264D9">
      <w:pPr>
        <w:spacing w:after="0" w:line="360" w:lineRule="auto"/>
        <w:ind w:left="1416"/>
        <w:jc w:val="both"/>
        <w:rPr>
          <w:rFonts w:ascii="Cambria" w:hAnsi="Cambria"/>
          <w:b/>
          <w:bCs/>
          <w:sz w:val="28"/>
          <w:szCs w:val="28"/>
        </w:rPr>
      </w:pPr>
      <w:r w:rsidRPr="005664F8">
        <w:rPr>
          <w:rFonts w:ascii="Cambria" w:hAnsi="Cambria"/>
          <w:b/>
          <w:bCs/>
          <w:sz w:val="28"/>
          <w:szCs w:val="28"/>
        </w:rPr>
        <w:t>Não há prova de que tenha tido condições técnicas de identificar falhas na gestão.</w:t>
      </w:r>
    </w:p>
    <w:p w14:paraId="03CD8C3B" w14:textId="77777777" w:rsidR="007437B4" w:rsidRPr="005664F8" w:rsidRDefault="007437B4" w:rsidP="007437B4">
      <w:pPr>
        <w:spacing w:after="0" w:line="360" w:lineRule="auto"/>
        <w:jc w:val="both"/>
        <w:rPr>
          <w:rFonts w:ascii="Cambria" w:hAnsi="Cambria"/>
          <w:b/>
          <w:bCs/>
          <w:sz w:val="28"/>
          <w:szCs w:val="28"/>
        </w:rPr>
      </w:pPr>
    </w:p>
    <w:p w14:paraId="7F895E37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7437B4">
        <w:rPr>
          <w:rFonts w:ascii="Cambria" w:hAnsi="Cambria"/>
          <w:sz w:val="28"/>
          <w:szCs w:val="28"/>
        </w:rPr>
        <w:t>Assim, o Banco do Brasil não comprovou a ciência inequívoca da lesão em 30/06/2000, como exige o Tema 1150.</w:t>
      </w:r>
    </w:p>
    <w:p w14:paraId="53F05951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0D344EE7" w14:textId="77C92F12" w:rsidR="007437B4" w:rsidRPr="001264D9" w:rsidRDefault="007437B4" w:rsidP="007437B4">
      <w:pPr>
        <w:spacing w:after="0" w:line="360" w:lineRule="auto"/>
        <w:jc w:val="both"/>
        <w:rPr>
          <w:rFonts w:ascii="Cambria" w:hAnsi="Cambria"/>
          <w:b/>
          <w:bCs/>
          <w:sz w:val="28"/>
          <w:szCs w:val="28"/>
        </w:rPr>
      </w:pPr>
      <w:r w:rsidRPr="001264D9">
        <w:rPr>
          <w:rFonts w:ascii="Cambria" w:hAnsi="Cambria"/>
          <w:b/>
          <w:bCs/>
          <w:sz w:val="28"/>
          <w:szCs w:val="28"/>
        </w:rPr>
        <w:t>5. DA VIOLAÇÃO À BOA-FÉ OBJETIVA E À RAZOABILIDADE</w:t>
      </w:r>
    </w:p>
    <w:p w14:paraId="2AC3A60C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2EC5E1B1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7437B4">
        <w:rPr>
          <w:rFonts w:ascii="Cambria" w:hAnsi="Cambria"/>
          <w:sz w:val="28"/>
          <w:szCs w:val="28"/>
        </w:rPr>
        <w:t>A interpretação adotada pela sentença recorrida conduz a resultado incompatível com:</w:t>
      </w:r>
    </w:p>
    <w:p w14:paraId="78701A24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7FA7C4EB" w14:textId="69EC1C07" w:rsidR="007437B4" w:rsidRPr="001264D9" w:rsidRDefault="007437B4" w:rsidP="001264D9">
      <w:pPr>
        <w:spacing w:after="0" w:line="360" w:lineRule="auto"/>
        <w:ind w:left="1416"/>
        <w:jc w:val="both"/>
        <w:rPr>
          <w:rFonts w:ascii="Cambria" w:hAnsi="Cambria"/>
          <w:b/>
          <w:bCs/>
          <w:sz w:val="28"/>
          <w:szCs w:val="28"/>
        </w:rPr>
      </w:pPr>
      <w:r w:rsidRPr="001264D9">
        <w:rPr>
          <w:rFonts w:ascii="Cambria" w:hAnsi="Cambria"/>
          <w:b/>
          <w:bCs/>
          <w:sz w:val="28"/>
          <w:szCs w:val="28"/>
        </w:rPr>
        <w:t>O princípio da boa-fé objetiva;</w:t>
      </w:r>
    </w:p>
    <w:p w14:paraId="623A76A9" w14:textId="609331AA" w:rsidR="007437B4" w:rsidRPr="001264D9" w:rsidRDefault="007437B4" w:rsidP="001264D9">
      <w:pPr>
        <w:spacing w:after="0" w:line="360" w:lineRule="auto"/>
        <w:ind w:left="1416"/>
        <w:jc w:val="both"/>
        <w:rPr>
          <w:rFonts w:ascii="Cambria" w:hAnsi="Cambria"/>
          <w:b/>
          <w:bCs/>
          <w:sz w:val="28"/>
          <w:szCs w:val="28"/>
        </w:rPr>
      </w:pPr>
      <w:r w:rsidRPr="001264D9">
        <w:rPr>
          <w:rFonts w:ascii="Cambria" w:hAnsi="Cambria"/>
          <w:b/>
          <w:bCs/>
          <w:sz w:val="28"/>
          <w:szCs w:val="28"/>
        </w:rPr>
        <w:t>O dever de informação;</w:t>
      </w:r>
    </w:p>
    <w:p w14:paraId="77E72501" w14:textId="3A422FAA" w:rsidR="007437B4" w:rsidRPr="001264D9" w:rsidRDefault="007437B4" w:rsidP="001264D9">
      <w:pPr>
        <w:spacing w:after="0" w:line="360" w:lineRule="auto"/>
        <w:ind w:left="1416"/>
        <w:jc w:val="both"/>
        <w:rPr>
          <w:rFonts w:ascii="Cambria" w:hAnsi="Cambria"/>
          <w:b/>
          <w:bCs/>
          <w:sz w:val="28"/>
          <w:szCs w:val="28"/>
        </w:rPr>
      </w:pPr>
      <w:r w:rsidRPr="001264D9">
        <w:rPr>
          <w:rFonts w:ascii="Cambria" w:hAnsi="Cambria"/>
          <w:b/>
          <w:bCs/>
          <w:sz w:val="28"/>
          <w:szCs w:val="28"/>
        </w:rPr>
        <w:t>A função social do contrato bancário.</w:t>
      </w:r>
    </w:p>
    <w:p w14:paraId="7983A1FA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49E9F585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7437B4">
        <w:rPr>
          <w:rFonts w:ascii="Cambria" w:hAnsi="Cambria"/>
          <w:sz w:val="28"/>
          <w:szCs w:val="28"/>
        </w:rPr>
        <w:t>Presumir que o servidor, no momento do saque, teria condições de auditar décadas de movimentações financeiras complexas é exigir comportamento tecnicamente impossível.</w:t>
      </w:r>
    </w:p>
    <w:p w14:paraId="2F7CD957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63AAB944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7437B4">
        <w:rPr>
          <w:rFonts w:ascii="Cambria" w:hAnsi="Cambria"/>
          <w:sz w:val="28"/>
          <w:szCs w:val="28"/>
        </w:rPr>
        <w:lastRenderedPageBreak/>
        <w:t>Tal presunção transfere ao cidadão ônus técnico que pertence à instituição financeira, detentora exclusiva da documentação e dos sistemas de cálculo.</w:t>
      </w:r>
    </w:p>
    <w:p w14:paraId="27925DAA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6F1402D3" w14:textId="23571267" w:rsidR="007437B4" w:rsidRPr="001264D9" w:rsidRDefault="007437B4" w:rsidP="007437B4">
      <w:pPr>
        <w:spacing w:after="0" w:line="360" w:lineRule="auto"/>
        <w:jc w:val="both"/>
        <w:rPr>
          <w:rFonts w:ascii="Cambria" w:hAnsi="Cambria"/>
          <w:b/>
          <w:bCs/>
          <w:sz w:val="28"/>
          <w:szCs w:val="28"/>
        </w:rPr>
      </w:pPr>
      <w:r w:rsidRPr="001264D9">
        <w:rPr>
          <w:rFonts w:ascii="Cambria" w:hAnsi="Cambria"/>
          <w:b/>
          <w:bCs/>
          <w:sz w:val="28"/>
          <w:szCs w:val="28"/>
        </w:rPr>
        <w:t>6. DA NECESSIDADE DE DILAÇÃO PROBATÓRIA</w:t>
      </w:r>
    </w:p>
    <w:p w14:paraId="6DBD4E83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1279ED28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7437B4">
        <w:rPr>
          <w:rFonts w:ascii="Cambria" w:hAnsi="Cambria"/>
          <w:sz w:val="28"/>
          <w:szCs w:val="28"/>
        </w:rPr>
        <w:t>A prescrição foi reconhecida sem produção de prova pericial e sem a devida instrução quanto ao momento da ciência da lesão.</w:t>
      </w:r>
    </w:p>
    <w:p w14:paraId="6A8BCADB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0FF21DA9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7437B4">
        <w:rPr>
          <w:rFonts w:ascii="Cambria" w:hAnsi="Cambria"/>
          <w:sz w:val="28"/>
          <w:szCs w:val="28"/>
        </w:rPr>
        <w:t>Entretanto, a verificação do termo inicial da prescrição demanda análise fática:</w:t>
      </w:r>
    </w:p>
    <w:p w14:paraId="566897A9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058F223D" w14:textId="1700C008" w:rsidR="007437B4" w:rsidRPr="005664F8" w:rsidRDefault="007437B4" w:rsidP="001264D9">
      <w:pPr>
        <w:spacing w:after="0" w:line="360" w:lineRule="auto"/>
        <w:ind w:left="1416"/>
        <w:jc w:val="both"/>
        <w:rPr>
          <w:rFonts w:ascii="Cambria" w:hAnsi="Cambria"/>
          <w:b/>
          <w:bCs/>
          <w:sz w:val="28"/>
          <w:szCs w:val="28"/>
        </w:rPr>
      </w:pPr>
      <w:r w:rsidRPr="005664F8">
        <w:rPr>
          <w:rFonts w:ascii="Cambria" w:hAnsi="Cambria"/>
          <w:b/>
          <w:bCs/>
          <w:sz w:val="28"/>
          <w:szCs w:val="28"/>
        </w:rPr>
        <w:t>Quando foram solicitados extratos?</w:t>
      </w:r>
    </w:p>
    <w:p w14:paraId="5F212A97" w14:textId="5C60B23F" w:rsidR="007437B4" w:rsidRPr="005664F8" w:rsidRDefault="007437B4" w:rsidP="001264D9">
      <w:pPr>
        <w:spacing w:after="0" w:line="360" w:lineRule="auto"/>
        <w:ind w:left="1416"/>
        <w:jc w:val="both"/>
        <w:rPr>
          <w:rFonts w:ascii="Cambria" w:hAnsi="Cambria"/>
          <w:b/>
          <w:bCs/>
          <w:sz w:val="28"/>
          <w:szCs w:val="28"/>
        </w:rPr>
      </w:pPr>
      <w:r w:rsidRPr="005664F8">
        <w:rPr>
          <w:rFonts w:ascii="Cambria" w:hAnsi="Cambria"/>
          <w:b/>
          <w:bCs/>
          <w:sz w:val="28"/>
          <w:szCs w:val="28"/>
        </w:rPr>
        <w:t>Quando foram fornecidos?</w:t>
      </w:r>
    </w:p>
    <w:p w14:paraId="166BD80C" w14:textId="7D36D6D9" w:rsidR="007437B4" w:rsidRPr="005664F8" w:rsidRDefault="007437B4" w:rsidP="001264D9">
      <w:pPr>
        <w:spacing w:after="0" w:line="360" w:lineRule="auto"/>
        <w:ind w:left="1416"/>
        <w:jc w:val="both"/>
        <w:rPr>
          <w:rFonts w:ascii="Cambria" w:hAnsi="Cambria"/>
          <w:b/>
          <w:bCs/>
          <w:sz w:val="28"/>
          <w:szCs w:val="28"/>
        </w:rPr>
      </w:pPr>
      <w:r w:rsidRPr="005664F8">
        <w:rPr>
          <w:rFonts w:ascii="Cambria" w:hAnsi="Cambria"/>
          <w:b/>
          <w:bCs/>
          <w:sz w:val="28"/>
          <w:szCs w:val="28"/>
        </w:rPr>
        <w:t>Quando foi possível identificar inconsistências?</w:t>
      </w:r>
    </w:p>
    <w:p w14:paraId="424BFB22" w14:textId="77777777" w:rsidR="007437B4" w:rsidRPr="005664F8" w:rsidRDefault="007437B4" w:rsidP="007437B4">
      <w:pPr>
        <w:spacing w:after="0" w:line="360" w:lineRule="auto"/>
        <w:jc w:val="both"/>
        <w:rPr>
          <w:rFonts w:ascii="Cambria" w:hAnsi="Cambria"/>
          <w:b/>
          <w:bCs/>
          <w:sz w:val="28"/>
          <w:szCs w:val="28"/>
        </w:rPr>
      </w:pPr>
    </w:p>
    <w:p w14:paraId="77EE18B8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7437B4">
        <w:rPr>
          <w:rFonts w:ascii="Cambria" w:hAnsi="Cambria"/>
          <w:sz w:val="28"/>
          <w:szCs w:val="28"/>
        </w:rPr>
        <w:t>Trata-se de matéria que exige instrução probatória, sendo prematuro o reconhecimento da prescrição em sede liminar de mérito.</w:t>
      </w:r>
    </w:p>
    <w:p w14:paraId="04375517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30FF77E6" w14:textId="5F4272C8" w:rsidR="007437B4" w:rsidRPr="001264D9" w:rsidRDefault="007437B4" w:rsidP="007437B4">
      <w:pPr>
        <w:spacing w:after="0" w:line="360" w:lineRule="auto"/>
        <w:jc w:val="both"/>
        <w:rPr>
          <w:rFonts w:ascii="Cambria" w:hAnsi="Cambria"/>
          <w:b/>
          <w:bCs/>
          <w:sz w:val="28"/>
          <w:szCs w:val="28"/>
        </w:rPr>
      </w:pPr>
      <w:r w:rsidRPr="001264D9">
        <w:rPr>
          <w:rFonts w:ascii="Cambria" w:hAnsi="Cambria"/>
          <w:b/>
          <w:bCs/>
          <w:sz w:val="28"/>
          <w:szCs w:val="28"/>
        </w:rPr>
        <w:t>7. PEDIDOS</w:t>
      </w:r>
    </w:p>
    <w:p w14:paraId="53A77324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59F91BF2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7437B4">
        <w:rPr>
          <w:rFonts w:ascii="Cambria" w:hAnsi="Cambria"/>
          <w:sz w:val="28"/>
          <w:szCs w:val="28"/>
        </w:rPr>
        <w:t>Diante do exposto, requer-se:</w:t>
      </w:r>
    </w:p>
    <w:p w14:paraId="44B1F405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79EB4D3D" w14:textId="77777777" w:rsidR="007437B4" w:rsidRPr="007437B4" w:rsidRDefault="007437B4" w:rsidP="001264D9">
      <w:pPr>
        <w:spacing w:after="0" w:line="360" w:lineRule="auto"/>
        <w:ind w:left="708"/>
        <w:jc w:val="both"/>
        <w:rPr>
          <w:rFonts w:ascii="Cambria" w:hAnsi="Cambria"/>
          <w:sz w:val="28"/>
          <w:szCs w:val="28"/>
        </w:rPr>
      </w:pPr>
      <w:r w:rsidRPr="001264D9">
        <w:rPr>
          <w:rFonts w:ascii="Cambria" w:hAnsi="Cambria"/>
          <w:b/>
          <w:bCs/>
          <w:sz w:val="28"/>
          <w:szCs w:val="28"/>
        </w:rPr>
        <w:t>1</w:t>
      </w:r>
      <w:r w:rsidRPr="007437B4">
        <w:rPr>
          <w:rFonts w:ascii="Cambria" w:hAnsi="Cambria"/>
          <w:sz w:val="28"/>
          <w:szCs w:val="28"/>
        </w:rPr>
        <w:t>. O conhecimento e provimento da presente Apelação;</w:t>
      </w:r>
    </w:p>
    <w:p w14:paraId="52FF0CCD" w14:textId="77777777" w:rsidR="007437B4" w:rsidRPr="007437B4" w:rsidRDefault="007437B4" w:rsidP="001264D9">
      <w:pPr>
        <w:spacing w:after="0" w:line="360" w:lineRule="auto"/>
        <w:ind w:left="708"/>
        <w:jc w:val="both"/>
        <w:rPr>
          <w:rFonts w:ascii="Cambria" w:hAnsi="Cambria"/>
          <w:sz w:val="28"/>
          <w:szCs w:val="28"/>
        </w:rPr>
      </w:pPr>
      <w:r w:rsidRPr="001264D9">
        <w:rPr>
          <w:rFonts w:ascii="Cambria" w:hAnsi="Cambria"/>
          <w:b/>
          <w:bCs/>
          <w:sz w:val="28"/>
          <w:szCs w:val="28"/>
        </w:rPr>
        <w:t>2</w:t>
      </w:r>
      <w:r w:rsidRPr="007437B4">
        <w:rPr>
          <w:rFonts w:ascii="Cambria" w:hAnsi="Cambria"/>
          <w:sz w:val="28"/>
          <w:szCs w:val="28"/>
        </w:rPr>
        <w:t>. A reforma integral da sentença, para afastar o reconhecimento da prescrição;</w:t>
      </w:r>
    </w:p>
    <w:p w14:paraId="1D9B0731" w14:textId="77777777" w:rsidR="007437B4" w:rsidRPr="007437B4" w:rsidRDefault="007437B4" w:rsidP="001264D9">
      <w:pPr>
        <w:spacing w:after="0" w:line="360" w:lineRule="auto"/>
        <w:ind w:left="708"/>
        <w:jc w:val="both"/>
        <w:rPr>
          <w:rFonts w:ascii="Cambria" w:hAnsi="Cambria"/>
          <w:sz w:val="28"/>
          <w:szCs w:val="28"/>
        </w:rPr>
      </w:pPr>
      <w:r w:rsidRPr="001264D9">
        <w:rPr>
          <w:rFonts w:ascii="Cambria" w:hAnsi="Cambria"/>
          <w:b/>
          <w:bCs/>
          <w:sz w:val="28"/>
          <w:szCs w:val="28"/>
        </w:rPr>
        <w:t>3</w:t>
      </w:r>
      <w:r w:rsidRPr="007437B4">
        <w:rPr>
          <w:rFonts w:ascii="Cambria" w:hAnsi="Cambria"/>
          <w:sz w:val="28"/>
          <w:szCs w:val="28"/>
        </w:rPr>
        <w:t>. O retorno dos autos à origem para regular instrução probatória, com realização de perícia contábil;</w:t>
      </w:r>
    </w:p>
    <w:p w14:paraId="5F6F99CC" w14:textId="77777777" w:rsidR="007437B4" w:rsidRPr="007437B4" w:rsidRDefault="007437B4" w:rsidP="001264D9">
      <w:pPr>
        <w:spacing w:after="0" w:line="360" w:lineRule="auto"/>
        <w:ind w:left="708"/>
        <w:jc w:val="both"/>
        <w:rPr>
          <w:rFonts w:ascii="Cambria" w:hAnsi="Cambria"/>
          <w:sz w:val="28"/>
          <w:szCs w:val="28"/>
        </w:rPr>
      </w:pPr>
      <w:r w:rsidRPr="001264D9">
        <w:rPr>
          <w:rFonts w:ascii="Cambria" w:hAnsi="Cambria"/>
          <w:b/>
          <w:bCs/>
          <w:sz w:val="28"/>
          <w:szCs w:val="28"/>
        </w:rPr>
        <w:lastRenderedPageBreak/>
        <w:t>4</w:t>
      </w:r>
      <w:r w:rsidRPr="007437B4">
        <w:rPr>
          <w:rFonts w:ascii="Cambria" w:hAnsi="Cambria"/>
          <w:sz w:val="28"/>
          <w:szCs w:val="28"/>
        </w:rPr>
        <w:t>. A condenação do Apelado ao pagamento das custas e honorários recursais.</w:t>
      </w:r>
    </w:p>
    <w:p w14:paraId="576C0D63" w14:textId="77777777" w:rsidR="007437B4" w:rsidRPr="007437B4" w:rsidRDefault="007437B4" w:rsidP="001264D9">
      <w:pPr>
        <w:spacing w:after="0" w:line="360" w:lineRule="auto"/>
        <w:ind w:left="708"/>
        <w:jc w:val="both"/>
        <w:rPr>
          <w:rFonts w:ascii="Cambria" w:hAnsi="Cambria"/>
          <w:sz w:val="28"/>
          <w:szCs w:val="28"/>
        </w:rPr>
      </w:pPr>
    </w:p>
    <w:p w14:paraId="674A667B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  <w:r w:rsidRPr="007437B4">
        <w:rPr>
          <w:rFonts w:ascii="Cambria" w:hAnsi="Cambria"/>
          <w:sz w:val="28"/>
          <w:szCs w:val="28"/>
        </w:rPr>
        <w:t>Subsidiariamente, caso Vossas Excelências entendam pela necessidade de maior instrução quanto ao termo inicial da prescrição, requer-se a anulação da sentença para reabertura da fase instrutória.</w:t>
      </w:r>
    </w:p>
    <w:p w14:paraId="2C4A5C85" w14:textId="77777777" w:rsidR="007437B4" w:rsidRPr="007437B4" w:rsidRDefault="007437B4" w:rsidP="007437B4">
      <w:pPr>
        <w:spacing w:after="0" w:line="360" w:lineRule="auto"/>
        <w:jc w:val="both"/>
        <w:rPr>
          <w:rFonts w:ascii="Cambria" w:hAnsi="Cambria"/>
          <w:sz w:val="28"/>
          <w:szCs w:val="28"/>
        </w:rPr>
      </w:pPr>
    </w:p>
    <w:p w14:paraId="6784AC70" w14:textId="77777777" w:rsidR="007437B4" w:rsidRPr="007437B4" w:rsidRDefault="007437B4" w:rsidP="001264D9">
      <w:pPr>
        <w:spacing w:after="0" w:line="360" w:lineRule="auto"/>
        <w:jc w:val="center"/>
        <w:rPr>
          <w:rFonts w:ascii="Cambria" w:hAnsi="Cambria"/>
          <w:sz w:val="28"/>
          <w:szCs w:val="28"/>
        </w:rPr>
      </w:pPr>
      <w:r w:rsidRPr="007437B4">
        <w:rPr>
          <w:rFonts w:ascii="Cambria" w:hAnsi="Cambria"/>
          <w:sz w:val="28"/>
          <w:szCs w:val="28"/>
        </w:rPr>
        <w:t>Termos em que,</w:t>
      </w:r>
    </w:p>
    <w:p w14:paraId="67D8299D" w14:textId="77777777" w:rsidR="007437B4" w:rsidRPr="007437B4" w:rsidRDefault="007437B4" w:rsidP="001264D9">
      <w:pPr>
        <w:spacing w:after="0" w:line="360" w:lineRule="auto"/>
        <w:jc w:val="center"/>
        <w:rPr>
          <w:rFonts w:ascii="Cambria" w:hAnsi="Cambria"/>
          <w:sz w:val="28"/>
          <w:szCs w:val="28"/>
        </w:rPr>
      </w:pPr>
      <w:r w:rsidRPr="007437B4">
        <w:rPr>
          <w:rFonts w:ascii="Cambria" w:hAnsi="Cambria"/>
          <w:sz w:val="28"/>
          <w:szCs w:val="28"/>
        </w:rPr>
        <w:t>Pede deferimento.</w:t>
      </w:r>
    </w:p>
    <w:p w14:paraId="6AC15F93" w14:textId="77777777" w:rsidR="007437B4" w:rsidRPr="007437B4" w:rsidRDefault="007437B4" w:rsidP="001264D9">
      <w:pPr>
        <w:spacing w:after="0" w:line="360" w:lineRule="auto"/>
        <w:jc w:val="center"/>
        <w:rPr>
          <w:rFonts w:ascii="Cambria" w:hAnsi="Cambria"/>
          <w:sz w:val="28"/>
          <w:szCs w:val="28"/>
        </w:rPr>
      </w:pPr>
    </w:p>
    <w:p w14:paraId="177C67B1" w14:textId="77777777" w:rsidR="007437B4" w:rsidRPr="007437B4" w:rsidRDefault="007437B4" w:rsidP="001264D9">
      <w:pPr>
        <w:spacing w:after="0" w:line="360" w:lineRule="auto"/>
        <w:jc w:val="center"/>
        <w:rPr>
          <w:rFonts w:ascii="Cambria" w:hAnsi="Cambria"/>
          <w:sz w:val="28"/>
          <w:szCs w:val="28"/>
        </w:rPr>
      </w:pPr>
      <w:r w:rsidRPr="007437B4">
        <w:rPr>
          <w:rFonts w:ascii="Cambria" w:hAnsi="Cambria"/>
          <w:sz w:val="28"/>
          <w:szCs w:val="28"/>
        </w:rPr>
        <w:t>Local, data.</w:t>
      </w:r>
    </w:p>
    <w:p w14:paraId="1AA2AA40" w14:textId="77777777" w:rsidR="007437B4" w:rsidRPr="007437B4" w:rsidRDefault="007437B4" w:rsidP="001264D9">
      <w:pPr>
        <w:spacing w:after="0" w:line="360" w:lineRule="auto"/>
        <w:jc w:val="center"/>
        <w:rPr>
          <w:rFonts w:ascii="Cambria" w:hAnsi="Cambria"/>
          <w:sz w:val="28"/>
          <w:szCs w:val="28"/>
        </w:rPr>
      </w:pPr>
    </w:p>
    <w:p w14:paraId="00DDCA71" w14:textId="77777777" w:rsidR="007437B4" w:rsidRPr="007437B4" w:rsidRDefault="007437B4" w:rsidP="001264D9">
      <w:pPr>
        <w:spacing w:after="0" w:line="360" w:lineRule="auto"/>
        <w:jc w:val="center"/>
        <w:rPr>
          <w:rFonts w:ascii="Cambria" w:hAnsi="Cambria"/>
          <w:sz w:val="28"/>
          <w:szCs w:val="28"/>
        </w:rPr>
      </w:pPr>
      <w:r w:rsidRPr="007437B4">
        <w:rPr>
          <w:rFonts w:ascii="Cambria" w:hAnsi="Cambria"/>
          <w:sz w:val="28"/>
          <w:szCs w:val="28"/>
        </w:rPr>
        <w:t>Advogado</w:t>
      </w:r>
    </w:p>
    <w:p w14:paraId="4035CEEC" w14:textId="57AC0FD7" w:rsidR="0017646F" w:rsidRPr="007437B4" w:rsidRDefault="007437B4" w:rsidP="001264D9">
      <w:pPr>
        <w:spacing w:after="0" w:line="360" w:lineRule="auto"/>
        <w:jc w:val="center"/>
        <w:rPr>
          <w:rFonts w:ascii="Cambria" w:hAnsi="Cambria"/>
          <w:sz w:val="28"/>
          <w:szCs w:val="28"/>
        </w:rPr>
      </w:pPr>
      <w:r w:rsidRPr="007437B4">
        <w:rPr>
          <w:rFonts w:ascii="Cambria" w:hAnsi="Cambria"/>
          <w:sz w:val="28"/>
          <w:szCs w:val="28"/>
        </w:rPr>
        <w:t>OAB nº ___</w:t>
      </w:r>
    </w:p>
    <w:sectPr w:rsidR="0017646F" w:rsidRPr="007437B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B62815"/>
    <w:multiLevelType w:val="multilevel"/>
    <w:tmpl w:val="EDEAD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3C50F1"/>
    <w:multiLevelType w:val="multilevel"/>
    <w:tmpl w:val="D8861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6C553A"/>
    <w:multiLevelType w:val="multilevel"/>
    <w:tmpl w:val="D4E83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D14649"/>
    <w:multiLevelType w:val="multilevel"/>
    <w:tmpl w:val="2BBC3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0D439F"/>
    <w:multiLevelType w:val="multilevel"/>
    <w:tmpl w:val="D0308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A020B99"/>
    <w:multiLevelType w:val="multilevel"/>
    <w:tmpl w:val="58949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39D2DFA"/>
    <w:multiLevelType w:val="multilevel"/>
    <w:tmpl w:val="06F67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4442734">
    <w:abstractNumId w:val="6"/>
  </w:num>
  <w:num w:numId="2" w16cid:durableId="645012056">
    <w:abstractNumId w:val="0"/>
  </w:num>
  <w:num w:numId="3" w16cid:durableId="385879776">
    <w:abstractNumId w:val="2"/>
  </w:num>
  <w:num w:numId="4" w16cid:durableId="1894727809">
    <w:abstractNumId w:val="5"/>
  </w:num>
  <w:num w:numId="5" w16cid:durableId="1084763067">
    <w:abstractNumId w:val="3"/>
  </w:num>
  <w:num w:numId="6" w16cid:durableId="229734356">
    <w:abstractNumId w:val="1"/>
  </w:num>
  <w:num w:numId="7" w16cid:durableId="15592393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7B4"/>
    <w:rsid w:val="00033E4C"/>
    <w:rsid w:val="001264D9"/>
    <w:rsid w:val="0017646F"/>
    <w:rsid w:val="003374E3"/>
    <w:rsid w:val="004E1B8C"/>
    <w:rsid w:val="005664F8"/>
    <w:rsid w:val="00630B74"/>
    <w:rsid w:val="007437B4"/>
    <w:rsid w:val="00887EA0"/>
    <w:rsid w:val="00C0623C"/>
    <w:rsid w:val="00D65DE7"/>
    <w:rsid w:val="00EB5690"/>
    <w:rsid w:val="00F665B3"/>
    <w:rsid w:val="00FC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98246"/>
  <w15:chartTrackingRefBased/>
  <w15:docId w15:val="{BD3C718B-DCAF-41E8-964A-5117356BC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437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437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437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437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437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437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437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437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437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437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437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437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437B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437B4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437B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437B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437B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437B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437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437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437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437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437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437B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437B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437B4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437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437B4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437B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8</Pages>
  <Words>986</Words>
  <Characters>5502</Characters>
  <Application>Microsoft Office Word</Application>
  <DocSecurity>0</DocSecurity>
  <Lines>211</Lines>
  <Paragraphs>96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VALTER DOS SANTOS</dc:creator>
  <cp:keywords/>
  <dc:description/>
  <cp:lastModifiedBy>VALTER DOS SANTOS</cp:lastModifiedBy>
  <cp:revision>4</cp:revision>
  <dcterms:created xsi:type="dcterms:W3CDTF">2026-02-25T18:15:00Z</dcterms:created>
  <dcterms:modified xsi:type="dcterms:W3CDTF">2026-02-25T23:41:00Z</dcterms:modified>
</cp:coreProperties>
</file>