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3E17" w14:textId="5EA3D62F" w:rsidR="006F2811" w:rsidRPr="00CA282D" w:rsidRDefault="00CA282D" w:rsidP="006F2811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CA282D">
        <w:rPr>
          <w:rFonts w:ascii="Cambria" w:hAnsi="Cambria"/>
          <w:b/>
          <w:bCs/>
          <w:sz w:val="28"/>
          <w:szCs w:val="28"/>
        </w:rPr>
        <w:t>EXCELENTÍSSIMO SENHOR DOUTOR DESEMBARGADOR PRESIDENTE DO EGRÉGIO TRIBUNAL DE JUSTIÇA DO ESTADO DE SÃO PAULO,</w:t>
      </w:r>
    </w:p>
    <w:p w14:paraId="5FA7D1E5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AFBD891" w14:textId="24BA7CC4" w:rsidR="006F2811" w:rsidRPr="006F2811" w:rsidRDefault="00B2067C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b/>
          <w:bCs/>
          <w:sz w:val="28"/>
          <w:szCs w:val="28"/>
        </w:rPr>
        <w:t>PROCESSO Nº</w:t>
      </w:r>
      <w:r w:rsidRPr="006F2811">
        <w:rPr>
          <w:rFonts w:ascii="Cambria" w:hAnsi="Cambria"/>
          <w:sz w:val="28"/>
          <w:szCs w:val="28"/>
        </w:rPr>
        <w:t>: 1000</w:t>
      </w:r>
      <w:r>
        <w:rPr>
          <w:rFonts w:ascii="Cambria" w:hAnsi="Cambria"/>
          <w:sz w:val="28"/>
          <w:szCs w:val="28"/>
        </w:rPr>
        <w:t>-</w:t>
      </w:r>
      <w:r w:rsidRPr="006F2811">
        <w:rPr>
          <w:rFonts w:ascii="Cambria" w:hAnsi="Cambria"/>
          <w:sz w:val="28"/>
          <w:szCs w:val="28"/>
        </w:rPr>
        <w:t>2025.8.26.0063</w:t>
      </w:r>
    </w:p>
    <w:p w14:paraId="5AB025C4" w14:textId="7D462BEF" w:rsidR="006F2811" w:rsidRPr="006F2811" w:rsidRDefault="00B2067C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APELANTE:</w:t>
      </w:r>
      <w:r>
        <w:rPr>
          <w:rFonts w:ascii="Cambria" w:hAnsi="Cambria"/>
          <w:sz w:val="28"/>
          <w:szCs w:val="28"/>
        </w:rPr>
        <w:t xml:space="preserve"> </w:t>
      </w:r>
      <w:r w:rsidRPr="006F2811">
        <w:rPr>
          <w:rFonts w:ascii="Cambria" w:hAnsi="Cambria"/>
          <w:b/>
          <w:bCs/>
          <w:sz w:val="28"/>
          <w:szCs w:val="28"/>
        </w:rPr>
        <w:t>CLIENTE</w:t>
      </w:r>
    </w:p>
    <w:p w14:paraId="187939AC" w14:textId="30616DE2" w:rsidR="006F2811" w:rsidRDefault="00B2067C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b/>
          <w:bCs/>
          <w:sz w:val="28"/>
          <w:szCs w:val="28"/>
        </w:rPr>
        <w:t>APELADO</w:t>
      </w:r>
      <w:r w:rsidRPr="006F2811">
        <w:rPr>
          <w:rFonts w:ascii="Cambria" w:hAnsi="Cambria"/>
          <w:sz w:val="28"/>
          <w:szCs w:val="28"/>
        </w:rPr>
        <w:t xml:space="preserve">: BANCO DO BRASIL S.A. </w:t>
      </w:r>
    </w:p>
    <w:p w14:paraId="4A5D0B64" w14:textId="77777777" w:rsidR="008C267E" w:rsidRPr="006F2811" w:rsidRDefault="008C267E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DA62E82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B5325D0" w14:textId="031056A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b/>
          <w:bCs/>
          <w:sz w:val="28"/>
          <w:szCs w:val="28"/>
        </w:rPr>
        <w:t>CLIENTE</w:t>
      </w:r>
      <w:r w:rsidRPr="006F2811">
        <w:rPr>
          <w:rFonts w:ascii="Cambria" w:hAnsi="Cambria"/>
          <w:sz w:val="28"/>
          <w:szCs w:val="28"/>
        </w:rPr>
        <w:t xml:space="preserve">, já qualificado nos autos da </w:t>
      </w:r>
      <w:r w:rsidRPr="006F2811">
        <w:rPr>
          <w:rFonts w:ascii="Cambria" w:hAnsi="Cambria"/>
          <w:b/>
          <w:bCs/>
          <w:sz w:val="28"/>
          <w:szCs w:val="28"/>
        </w:rPr>
        <w:t>AÇÃO ORDINÁRIA DE COBRANÇA que move em face do BANCO DO BRASIL S.A</w:t>
      </w:r>
      <w:r w:rsidRPr="006F2811">
        <w:rPr>
          <w:rFonts w:ascii="Cambria" w:hAnsi="Cambria"/>
          <w:sz w:val="28"/>
          <w:szCs w:val="28"/>
        </w:rPr>
        <w:t>., igualmente qualificado, vem, respeitosamente, à presença de Vossa Excelência, por seu advogado que esta subscreve, inconformado com a r. sentença de fls.</w:t>
      </w:r>
      <w:r>
        <w:rPr>
          <w:rFonts w:ascii="Cambria" w:hAnsi="Cambria"/>
          <w:sz w:val="28"/>
          <w:szCs w:val="28"/>
        </w:rPr>
        <w:t xml:space="preserve"> </w:t>
      </w:r>
      <w:r w:rsidRPr="006F2811">
        <w:rPr>
          <w:rFonts w:ascii="Cambria" w:hAnsi="Cambria"/>
          <w:b/>
          <w:bCs/>
          <w:sz w:val="28"/>
          <w:szCs w:val="28"/>
        </w:rPr>
        <w:t>000</w:t>
      </w:r>
      <w:r w:rsidRPr="006F2811">
        <w:rPr>
          <w:rFonts w:ascii="Cambria" w:hAnsi="Cambria"/>
          <w:sz w:val="28"/>
          <w:szCs w:val="28"/>
        </w:rPr>
        <w:t>, que julgou improcedente o pedido inicial com fundamento na prescrição</w:t>
      </w:r>
      <w:r>
        <w:rPr>
          <w:rFonts w:ascii="Cambria" w:hAnsi="Cambria"/>
          <w:sz w:val="28"/>
          <w:szCs w:val="28"/>
        </w:rPr>
        <w:t>,</w:t>
      </w:r>
      <w:r w:rsidRPr="006F2811">
        <w:rPr>
          <w:rFonts w:ascii="Cambria" w:hAnsi="Cambria"/>
          <w:sz w:val="28"/>
          <w:szCs w:val="28"/>
        </w:rPr>
        <w:t xml:space="preserve"> interpor o presente</w:t>
      </w:r>
    </w:p>
    <w:p w14:paraId="6FDE8EAD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48147543" w14:textId="255FF97D" w:rsidR="006F2811" w:rsidRPr="006F2811" w:rsidRDefault="006F2811" w:rsidP="006F2811">
      <w:pPr>
        <w:spacing w:after="0" w:line="36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6F2811">
        <w:rPr>
          <w:rFonts w:ascii="Cambria" w:hAnsi="Cambria"/>
          <w:b/>
          <w:bCs/>
          <w:sz w:val="28"/>
          <w:szCs w:val="28"/>
        </w:rPr>
        <w:t>RECURSO DE APELAÇÃO</w:t>
      </w:r>
    </w:p>
    <w:p w14:paraId="53E37344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57C9CF12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com fulcro nos artigos 1.009 e seguintes do Código de Processo Civil, requerendo a remessa dos autos ao Egrégio Tribunal de Justiça do Estado de São Paulo para reexame da matéria.</w:t>
      </w:r>
    </w:p>
    <w:p w14:paraId="7419B76F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199F0B9F" w14:textId="77777777" w:rsidR="006F2811" w:rsidRPr="006F2811" w:rsidRDefault="006F2811" w:rsidP="009447E3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Nestes termos, pede deferimento.</w:t>
      </w:r>
    </w:p>
    <w:p w14:paraId="058D94A1" w14:textId="77777777" w:rsidR="006F2811" w:rsidRPr="006F2811" w:rsidRDefault="006F2811" w:rsidP="009447E3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</w:p>
    <w:p w14:paraId="238B8B01" w14:textId="77777777" w:rsidR="006F2811" w:rsidRPr="006F2811" w:rsidRDefault="006F2811" w:rsidP="009447E3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Barra Bonita, 25 de julho de 2025.</w:t>
      </w:r>
    </w:p>
    <w:p w14:paraId="3B6066C7" w14:textId="77777777" w:rsidR="006F2811" w:rsidRPr="006F2811" w:rsidRDefault="006F2811" w:rsidP="009447E3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</w:p>
    <w:p w14:paraId="7C53A9B8" w14:textId="63E8E46C" w:rsidR="006F2811" w:rsidRPr="009447E3" w:rsidRDefault="006F2811" w:rsidP="009447E3">
      <w:pPr>
        <w:spacing w:after="0" w:line="36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9447E3">
        <w:rPr>
          <w:rFonts w:ascii="Cambria" w:hAnsi="Cambria"/>
          <w:b/>
          <w:bCs/>
          <w:sz w:val="28"/>
          <w:szCs w:val="28"/>
        </w:rPr>
        <w:t>Advogado(a)</w:t>
      </w:r>
    </w:p>
    <w:p w14:paraId="30A2F859" w14:textId="3D379636" w:rsidR="006F2811" w:rsidRPr="006F2811" w:rsidRDefault="006F2811" w:rsidP="009447E3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 xml:space="preserve">OAB/SP nº </w:t>
      </w:r>
      <w:r w:rsidR="009447E3">
        <w:rPr>
          <w:rFonts w:ascii="Cambria" w:hAnsi="Cambria"/>
          <w:sz w:val="28"/>
          <w:szCs w:val="28"/>
        </w:rPr>
        <w:t>00.000</w:t>
      </w:r>
    </w:p>
    <w:p w14:paraId="771E3596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C8311EB" w14:textId="73B43840" w:rsidR="006F2811" w:rsidRPr="009447E3" w:rsidRDefault="006F2811" w:rsidP="006F2811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9447E3">
        <w:rPr>
          <w:rFonts w:ascii="Cambria" w:hAnsi="Cambria"/>
          <w:b/>
          <w:bCs/>
          <w:sz w:val="28"/>
          <w:szCs w:val="28"/>
        </w:rPr>
        <w:t>RAZÕES DE APELAÇÃO</w:t>
      </w:r>
    </w:p>
    <w:p w14:paraId="3B531EE4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ED4E558" w14:textId="4E4CC29C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Processo nº:</w:t>
      </w:r>
      <w:r w:rsidR="009447E3">
        <w:rPr>
          <w:rFonts w:ascii="Cambria" w:hAnsi="Cambria"/>
          <w:sz w:val="28"/>
          <w:szCs w:val="28"/>
        </w:rPr>
        <w:t xml:space="preserve"> </w:t>
      </w:r>
      <w:r w:rsidRPr="006F2811">
        <w:rPr>
          <w:rFonts w:ascii="Cambria" w:hAnsi="Cambria"/>
          <w:sz w:val="28"/>
          <w:szCs w:val="28"/>
        </w:rPr>
        <w:t xml:space="preserve">1000-2025.8.26.0063 </w:t>
      </w:r>
    </w:p>
    <w:p w14:paraId="486F5CFA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34EADF8" w14:textId="78BC534A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Apelante:</w:t>
      </w:r>
      <w:r w:rsidR="009447E3">
        <w:rPr>
          <w:rFonts w:ascii="Cambria" w:hAnsi="Cambria"/>
          <w:sz w:val="28"/>
          <w:szCs w:val="28"/>
        </w:rPr>
        <w:t xml:space="preserve"> </w:t>
      </w:r>
      <w:r w:rsidR="009447E3" w:rsidRPr="009447E3">
        <w:rPr>
          <w:rFonts w:ascii="Cambria" w:hAnsi="Cambria"/>
          <w:b/>
          <w:bCs/>
          <w:sz w:val="28"/>
          <w:szCs w:val="28"/>
        </w:rPr>
        <w:t>CLIENTE</w:t>
      </w:r>
    </w:p>
    <w:p w14:paraId="2C750A6A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11D6026" w14:textId="31524F00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9447E3">
        <w:rPr>
          <w:rFonts w:ascii="Cambria" w:hAnsi="Cambria"/>
          <w:b/>
          <w:bCs/>
          <w:sz w:val="28"/>
          <w:szCs w:val="28"/>
        </w:rPr>
        <w:t>Apelado:</w:t>
      </w:r>
      <w:r w:rsidRPr="006F2811">
        <w:rPr>
          <w:rFonts w:ascii="Cambria" w:hAnsi="Cambria"/>
          <w:sz w:val="28"/>
          <w:szCs w:val="28"/>
        </w:rPr>
        <w:t xml:space="preserve"> Banco do Brasil S.A. [cite: 16]</w:t>
      </w:r>
    </w:p>
    <w:p w14:paraId="7EFE4AE6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C8C4320" w14:textId="50669434" w:rsidR="006F2811" w:rsidRPr="009447E3" w:rsidRDefault="006F2811" w:rsidP="006F2811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9447E3">
        <w:rPr>
          <w:rFonts w:ascii="Cambria" w:hAnsi="Cambria"/>
          <w:b/>
          <w:bCs/>
          <w:sz w:val="28"/>
          <w:szCs w:val="28"/>
        </w:rPr>
        <w:t>Egrégio Tribunal,</w:t>
      </w:r>
    </w:p>
    <w:p w14:paraId="2BF82048" w14:textId="68426DE3" w:rsidR="006F2811" w:rsidRPr="009447E3" w:rsidRDefault="006F2811" w:rsidP="006F2811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9447E3">
        <w:rPr>
          <w:rFonts w:ascii="Cambria" w:hAnsi="Cambria"/>
          <w:b/>
          <w:bCs/>
          <w:sz w:val="28"/>
          <w:szCs w:val="28"/>
        </w:rPr>
        <w:t>Colenda Câmara,</w:t>
      </w:r>
    </w:p>
    <w:p w14:paraId="68FB3528" w14:textId="436FD60F" w:rsidR="006F2811" w:rsidRPr="009447E3" w:rsidRDefault="006F2811" w:rsidP="006F2811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9447E3">
        <w:rPr>
          <w:rFonts w:ascii="Cambria" w:hAnsi="Cambria"/>
          <w:b/>
          <w:bCs/>
          <w:sz w:val="28"/>
          <w:szCs w:val="28"/>
        </w:rPr>
        <w:t>Nobres Julgadores,</w:t>
      </w:r>
    </w:p>
    <w:p w14:paraId="083338EB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301B4CBD" w14:textId="316AB65A" w:rsidR="006F2811" w:rsidRPr="009447E3" w:rsidRDefault="006F2811" w:rsidP="006F2811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9447E3">
        <w:rPr>
          <w:rFonts w:ascii="Cambria" w:hAnsi="Cambria"/>
          <w:b/>
          <w:bCs/>
          <w:sz w:val="28"/>
          <w:szCs w:val="28"/>
        </w:rPr>
        <w:t>I. BREVE SÍNTESE DOS FATOS</w:t>
      </w:r>
    </w:p>
    <w:p w14:paraId="225BBF6F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34CBD7D2" w14:textId="3837D308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 xml:space="preserve">A Apelante ajuizou Ação Ordinária de Cobrança em face do Banco do Brasil S.A., buscando o ressarcimento de valores relativos à sua conta individual no PASEP. A autora narra que, em setembro de 2010, realizou o saque de sua conta no valor de </w:t>
      </w:r>
      <w:r w:rsidRPr="009447E3">
        <w:rPr>
          <w:rFonts w:ascii="Cambria" w:hAnsi="Cambria"/>
          <w:b/>
          <w:bCs/>
          <w:sz w:val="28"/>
          <w:szCs w:val="28"/>
        </w:rPr>
        <w:t>R$ 754,68</w:t>
      </w:r>
      <w:r w:rsidRPr="006F2811">
        <w:rPr>
          <w:rFonts w:ascii="Cambria" w:hAnsi="Cambria"/>
          <w:sz w:val="28"/>
          <w:szCs w:val="28"/>
        </w:rPr>
        <w:t>, sem receber na ocasião documentação detalhada das movimentações que justificassem tal montante.</w:t>
      </w:r>
    </w:p>
    <w:p w14:paraId="0B236C9B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90A3D90" w14:textId="0A9D802E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 xml:space="preserve">Em 2024, motivada pela divulgação de notícias sobre possíveis irregularidades na gestão do PASEP, a requerente procurou o banco requerido e obteve as microfichas de sua conta individual. Com base nesses documentos, contratou especialista para revisão dos cálculos, cujo parecer técnico concluiu que o valor correto deveria ser </w:t>
      </w:r>
      <w:r w:rsidRPr="009447E3">
        <w:rPr>
          <w:rFonts w:ascii="Cambria" w:hAnsi="Cambria"/>
          <w:b/>
          <w:bCs/>
          <w:sz w:val="28"/>
          <w:szCs w:val="28"/>
        </w:rPr>
        <w:t>de R$ 33.689,08</w:t>
      </w:r>
      <w:r w:rsidRPr="006F2811">
        <w:rPr>
          <w:rFonts w:ascii="Cambria" w:hAnsi="Cambria"/>
          <w:sz w:val="28"/>
          <w:szCs w:val="28"/>
        </w:rPr>
        <w:t xml:space="preserve">, considerando atualizações até janeiro de 2025. A Apelante </w:t>
      </w:r>
      <w:r w:rsidRPr="006F2811">
        <w:rPr>
          <w:rFonts w:ascii="Cambria" w:hAnsi="Cambria"/>
          <w:sz w:val="28"/>
          <w:szCs w:val="28"/>
        </w:rPr>
        <w:lastRenderedPageBreak/>
        <w:t>sustenta que o Banco do Brasil, na qualidade de administrador do PASEP, falhou na prestação do serviço ao não preservar adequadamente os valores depositados antes da CF/88, conforme determina o art. 239, § 2º da Constituição Federal.</w:t>
      </w:r>
    </w:p>
    <w:p w14:paraId="48E8B38D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23CF3D4" w14:textId="51029AEF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O Banco do Brasil S.A., em contestação, alegou preliminarmente sua ilegitimidade passiva e a ocorrência de prescrição das pretensões</w:t>
      </w:r>
      <w:r w:rsidR="009447E3">
        <w:rPr>
          <w:rFonts w:ascii="Cambria" w:hAnsi="Cambria"/>
          <w:sz w:val="28"/>
          <w:szCs w:val="28"/>
        </w:rPr>
        <w:t xml:space="preserve">. </w:t>
      </w:r>
      <w:r w:rsidRPr="006F2811">
        <w:rPr>
          <w:rFonts w:ascii="Cambria" w:hAnsi="Cambria"/>
          <w:sz w:val="28"/>
          <w:szCs w:val="28"/>
        </w:rPr>
        <w:t>No mérito, defendeu a regularidade da aplicação dos índices de correção e afirmou que não houve irregularidades ou prejuízos comprovados</w:t>
      </w:r>
      <w:r w:rsidR="009447E3">
        <w:rPr>
          <w:rFonts w:ascii="Cambria" w:hAnsi="Cambria"/>
          <w:sz w:val="28"/>
          <w:szCs w:val="28"/>
        </w:rPr>
        <w:t>.</w:t>
      </w:r>
    </w:p>
    <w:p w14:paraId="1762CA0F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43EE6436" w14:textId="64C46EA9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A r. sentença de primeiro grau julgou improcedente o pedido inicial, reconhecendo a prescrição da pretensão da autora, sob o fundamento de que o termo inicial para a contagem do prazo prescricional seria a data do saque, em setembro de 2010, ocasião em que a parte autora teria tomado ciência dos supostos desfalques.</w:t>
      </w:r>
    </w:p>
    <w:p w14:paraId="2B873F63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E9795A6" w14:textId="372E0B42" w:rsidR="006F2811" w:rsidRPr="009447E3" w:rsidRDefault="006F2811" w:rsidP="006F2811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9447E3">
        <w:rPr>
          <w:rFonts w:ascii="Cambria" w:hAnsi="Cambria"/>
          <w:b/>
          <w:bCs/>
          <w:sz w:val="28"/>
          <w:szCs w:val="28"/>
        </w:rPr>
        <w:t xml:space="preserve">II. DO DIREITO – DA INAPLICABILIDADE DA PRESCRIÇÃO – DA TEORIA DA </w:t>
      </w:r>
      <w:r w:rsidR="009447E3">
        <w:rPr>
          <w:rFonts w:ascii="Cambria" w:hAnsi="Cambria"/>
          <w:b/>
          <w:bCs/>
          <w:sz w:val="28"/>
          <w:szCs w:val="28"/>
        </w:rPr>
        <w:t>“</w:t>
      </w:r>
      <w:r w:rsidRPr="009447E3">
        <w:rPr>
          <w:rFonts w:ascii="Cambria" w:hAnsi="Cambria"/>
          <w:b/>
          <w:bCs/>
          <w:i/>
          <w:iCs/>
          <w:sz w:val="28"/>
          <w:szCs w:val="28"/>
        </w:rPr>
        <w:t>ACTIO NATA</w:t>
      </w:r>
      <w:r w:rsidR="009447E3">
        <w:rPr>
          <w:rFonts w:ascii="Cambria" w:hAnsi="Cambria"/>
          <w:b/>
          <w:bCs/>
          <w:sz w:val="28"/>
          <w:szCs w:val="28"/>
        </w:rPr>
        <w:t>”</w:t>
      </w:r>
      <w:r w:rsidRPr="009447E3">
        <w:rPr>
          <w:rFonts w:ascii="Cambria" w:hAnsi="Cambria"/>
          <w:b/>
          <w:bCs/>
          <w:sz w:val="28"/>
          <w:szCs w:val="28"/>
        </w:rPr>
        <w:t xml:space="preserve"> E DO TEMA 1.150 DO STJ</w:t>
      </w:r>
    </w:p>
    <w:p w14:paraId="1854F599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E5E9E77" w14:textId="14188204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A r. sentença merece reforma, porquanto a aplicação da prescrição se deu em dissonância com o entendimento consolidado pelo Superior Tribunal de Justiça (STJ) no julgamento do Tema Repetitivo 1.150.</w:t>
      </w:r>
    </w:p>
    <w:p w14:paraId="5EF1F154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2C402E7" w14:textId="59FA94D6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Conforme expressamente delineado no referido tema, são três os pontos cruciais que devem ser observados</w:t>
      </w:r>
      <w:r w:rsidR="006E4D9F">
        <w:rPr>
          <w:rFonts w:ascii="Cambria" w:hAnsi="Cambria"/>
          <w:sz w:val="28"/>
          <w:szCs w:val="28"/>
        </w:rPr>
        <w:t>:</w:t>
      </w:r>
    </w:p>
    <w:p w14:paraId="2328C65D" w14:textId="77777777" w:rsidR="006E4D9F" w:rsidRDefault="006E4D9F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202443C" w14:textId="299405B8" w:rsidR="006F2811" w:rsidRDefault="006E4D9F" w:rsidP="006E4D9F">
      <w:pPr>
        <w:spacing w:after="0" w:line="360" w:lineRule="auto"/>
        <w:ind w:left="708"/>
        <w:jc w:val="both"/>
        <w:rPr>
          <w:rFonts w:ascii="Cambria" w:hAnsi="Cambria"/>
          <w:sz w:val="28"/>
          <w:szCs w:val="28"/>
        </w:rPr>
      </w:pPr>
      <w:r w:rsidRPr="006E4D9F">
        <w:rPr>
          <w:rFonts w:ascii="Cambria" w:hAnsi="Cambria"/>
          <w:b/>
          <w:bCs/>
          <w:sz w:val="28"/>
          <w:szCs w:val="28"/>
        </w:rPr>
        <w:t>I)</w:t>
      </w:r>
      <w:r>
        <w:rPr>
          <w:rFonts w:ascii="Cambria" w:hAnsi="Cambria"/>
          <w:sz w:val="28"/>
          <w:szCs w:val="28"/>
        </w:rPr>
        <w:t xml:space="preserve"> </w:t>
      </w:r>
      <w:r w:rsidR="006F2811" w:rsidRPr="006F2811">
        <w:rPr>
          <w:rFonts w:ascii="Cambria" w:hAnsi="Cambria"/>
          <w:sz w:val="28"/>
          <w:szCs w:val="28"/>
        </w:rPr>
        <w:t xml:space="preserve">O Banco do Brasil possui legitimidade passiva </w:t>
      </w:r>
      <w:r w:rsidR="006F2811" w:rsidRPr="006E4D9F">
        <w:rPr>
          <w:rFonts w:ascii="Cambria" w:hAnsi="Cambria"/>
          <w:b/>
          <w:bCs/>
          <w:i/>
          <w:iCs/>
          <w:sz w:val="28"/>
          <w:szCs w:val="28"/>
        </w:rPr>
        <w:t>ad causam</w:t>
      </w:r>
      <w:r w:rsidR="006F2811" w:rsidRPr="006F2811">
        <w:rPr>
          <w:rFonts w:ascii="Cambria" w:hAnsi="Cambria"/>
          <w:sz w:val="28"/>
          <w:szCs w:val="28"/>
        </w:rPr>
        <w:t xml:space="preserve"> para figurar no polo passivo de demanda na qual se discute eventual </w:t>
      </w:r>
      <w:r w:rsidR="006F2811" w:rsidRPr="006F2811">
        <w:rPr>
          <w:rFonts w:ascii="Cambria" w:hAnsi="Cambria"/>
          <w:sz w:val="28"/>
          <w:szCs w:val="28"/>
        </w:rPr>
        <w:lastRenderedPageBreak/>
        <w:t>falha na prestação do serviço quanto à conta vinculada ao PASEP, saques indevidos e desfalques, além da ausência de aplicação dos rendimentos estabelecidas pelo Conselho Diretor do referido programa.</w:t>
      </w:r>
    </w:p>
    <w:p w14:paraId="79C6AE4E" w14:textId="77777777" w:rsidR="006E4D9F" w:rsidRPr="006F2811" w:rsidRDefault="006E4D9F" w:rsidP="006E4D9F">
      <w:pPr>
        <w:spacing w:after="0" w:line="360" w:lineRule="auto"/>
        <w:ind w:left="708"/>
        <w:jc w:val="both"/>
        <w:rPr>
          <w:rFonts w:ascii="Cambria" w:hAnsi="Cambria"/>
          <w:sz w:val="28"/>
          <w:szCs w:val="28"/>
        </w:rPr>
      </w:pPr>
    </w:p>
    <w:p w14:paraId="0C008C64" w14:textId="1F74C472" w:rsidR="006F2811" w:rsidRDefault="006E4D9F" w:rsidP="006E4D9F">
      <w:pPr>
        <w:spacing w:after="0" w:line="360" w:lineRule="auto"/>
        <w:ind w:left="708"/>
        <w:jc w:val="both"/>
        <w:rPr>
          <w:rFonts w:ascii="Cambria" w:hAnsi="Cambria"/>
          <w:sz w:val="28"/>
          <w:szCs w:val="28"/>
        </w:rPr>
      </w:pPr>
      <w:r w:rsidRPr="006E4D9F">
        <w:rPr>
          <w:rFonts w:ascii="Cambria" w:hAnsi="Cambria"/>
          <w:b/>
          <w:bCs/>
          <w:sz w:val="28"/>
          <w:szCs w:val="28"/>
        </w:rPr>
        <w:t>II)</w:t>
      </w:r>
      <w:r>
        <w:rPr>
          <w:rFonts w:ascii="Cambria" w:hAnsi="Cambria"/>
          <w:sz w:val="28"/>
          <w:szCs w:val="28"/>
        </w:rPr>
        <w:t xml:space="preserve"> </w:t>
      </w:r>
      <w:r w:rsidR="006F2811" w:rsidRPr="006F2811">
        <w:rPr>
          <w:rFonts w:ascii="Cambria" w:hAnsi="Cambria"/>
          <w:sz w:val="28"/>
          <w:szCs w:val="28"/>
        </w:rPr>
        <w:t>A pretensão ao ressarcimento dos danos havidos em razão dos desfalques em conta individual vinculada ao PASEP se submete ao prazo prescricional decenal previsto pelo artigo 205 do Código Civil.</w:t>
      </w:r>
    </w:p>
    <w:p w14:paraId="74065F46" w14:textId="77777777" w:rsidR="006E4D9F" w:rsidRPr="006F2811" w:rsidRDefault="006E4D9F" w:rsidP="006E4D9F">
      <w:pPr>
        <w:spacing w:after="0" w:line="360" w:lineRule="auto"/>
        <w:ind w:left="708"/>
        <w:jc w:val="both"/>
        <w:rPr>
          <w:rFonts w:ascii="Cambria" w:hAnsi="Cambria"/>
          <w:sz w:val="28"/>
          <w:szCs w:val="28"/>
        </w:rPr>
      </w:pPr>
    </w:p>
    <w:p w14:paraId="0C167C99" w14:textId="54E7A7A6" w:rsidR="006F2811" w:rsidRPr="006F2811" w:rsidRDefault="006E4D9F" w:rsidP="006E4D9F">
      <w:pPr>
        <w:spacing w:after="0" w:line="360" w:lineRule="auto"/>
        <w:ind w:left="708"/>
        <w:jc w:val="both"/>
        <w:rPr>
          <w:rFonts w:ascii="Cambria" w:hAnsi="Cambria"/>
          <w:sz w:val="28"/>
          <w:szCs w:val="28"/>
        </w:rPr>
      </w:pPr>
      <w:r w:rsidRPr="006E4D9F">
        <w:rPr>
          <w:rFonts w:ascii="Cambria" w:hAnsi="Cambria"/>
          <w:b/>
          <w:bCs/>
          <w:sz w:val="28"/>
          <w:szCs w:val="28"/>
        </w:rPr>
        <w:t>III)</w:t>
      </w:r>
      <w:r w:rsidR="006F2811" w:rsidRPr="006F2811">
        <w:rPr>
          <w:rFonts w:ascii="Cambria" w:hAnsi="Cambria"/>
          <w:sz w:val="28"/>
          <w:szCs w:val="28"/>
        </w:rPr>
        <w:t xml:space="preserve"> O termo inicial para a contagem do prazo prescricional é o dia em que o titular, </w:t>
      </w:r>
      <w:r w:rsidR="006F2811" w:rsidRPr="006E4D9F">
        <w:rPr>
          <w:rFonts w:ascii="Cambria" w:hAnsi="Cambria"/>
          <w:b/>
          <w:bCs/>
          <w:sz w:val="28"/>
          <w:szCs w:val="28"/>
        </w:rPr>
        <w:t>comprovadamente, toma ciência dos desfalques realizados na conta individual vinculada ao PASEP</w:t>
      </w:r>
      <w:r w:rsidR="006F2811" w:rsidRPr="006F2811">
        <w:rPr>
          <w:rFonts w:ascii="Cambria" w:hAnsi="Cambria"/>
          <w:sz w:val="28"/>
          <w:szCs w:val="28"/>
        </w:rPr>
        <w:t>.</w:t>
      </w:r>
    </w:p>
    <w:p w14:paraId="55B6A9C3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5B9B6FCF" w14:textId="3005B045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A interpretação dada pela r. sentença ao terceiro item, que trata do termo inicial da prescrição, diverge da essência da teoria da</w:t>
      </w:r>
      <w:r w:rsidR="006E4D9F">
        <w:rPr>
          <w:rFonts w:ascii="Cambria" w:hAnsi="Cambria"/>
          <w:sz w:val="28"/>
          <w:szCs w:val="28"/>
        </w:rPr>
        <w:t xml:space="preserve"> “</w:t>
      </w:r>
      <w:proofErr w:type="spellStart"/>
      <w:r w:rsidRPr="006E4D9F">
        <w:rPr>
          <w:rFonts w:ascii="Cambria" w:hAnsi="Cambria"/>
          <w:b/>
          <w:bCs/>
          <w:i/>
          <w:iCs/>
          <w:sz w:val="28"/>
          <w:szCs w:val="28"/>
        </w:rPr>
        <w:t>actio</w:t>
      </w:r>
      <w:proofErr w:type="spellEnd"/>
      <w:r w:rsidRPr="006E4D9F">
        <w:rPr>
          <w:rFonts w:ascii="Cambria" w:hAnsi="Cambria"/>
          <w:b/>
          <w:bCs/>
          <w:i/>
          <w:iCs/>
          <w:sz w:val="28"/>
          <w:szCs w:val="28"/>
        </w:rPr>
        <w:t xml:space="preserve"> nata</w:t>
      </w:r>
      <w:r w:rsidR="006E4D9F">
        <w:rPr>
          <w:rFonts w:ascii="Cambria" w:hAnsi="Cambria"/>
          <w:sz w:val="28"/>
          <w:szCs w:val="28"/>
        </w:rPr>
        <w:t>”</w:t>
      </w:r>
      <w:r w:rsidRPr="006F2811">
        <w:rPr>
          <w:rFonts w:ascii="Cambria" w:hAnsi="Cambria"/>
          <w:sz w:val="28"/>
          <w:szCs w:val="28"/>
        </w:rPr>
        <w:t xml:space="preserve">. O </w:t>
      </w:r>
      <w:r w:rsidRPr="006E4D9F">
        <w:rPr>
          <w:rFonts w:ascii="Cambria" w:hAnsi="Cambria"/>
          <w:i/>
          <w:iCs/>
          <w:sz w:val="28"/>
          <w:szCs w:val="28"/>
        </w:rPr>
        <w:t>decisum a quo</w:t>
      </w:r>
      <w:r w:rsidRPr="006F2811">
        <w:rPr>
          <w:rFonts w:ascii="Cambria" w:hAnsi="Cambria"/>
          <w:sz w:val="28"/>
          <w:szCs w:val="28"/>
        </w:rPr>
        <w:t xml:space="preserve"> entendeu que a ciência do desfalque ocorreu no momento do saque, em setembro de 2010, quando a Apelante recebeu o valor de </w:t>
      </w:r>
      <w:r w:rsidRPr="006E4D9F">
        <w:rPr>
          <w:rFonts w:ascii="Cambria" w:hAnsi="Cambria"/>
          <w:b/>
          <w:bCs/>
          <w:sz w:val="28"/>
          <w:szCs w:val="28"/>
        </w:rPr>
        <w:t>R$ 754,68</w:t>
      </w:r>
      <w:r w:rsidR="006E4D9F">
        <w:rPr>
          <w:rFonts w:ascii="Cambria" w:hAnsi="Cambria"/>
          <w:sz w:val="28"/>
          <w:szCs w:val="28"/>
        </w:rPr>
        <w:t xml:space="preserve">. </w:t>
      </w:r>
      <w:r w:rsidRPr="006F2811">
        <w:rPr>
          <w:rFonts w:ascii="Cambria" w:hAnsi="Cambria"/>
          <w:sz w:val="28"/>
          <w:szCs w:val="28"/>
        </w:rPr>
        <w:t>Contudo, conforme a própria narrativa da Apelante, à época do saque, “</w:t>
      </w:r>
      <w:r w:rsidRPr="006E4D9F">
        <w:rPr>
          <w:rFonts w:ascii="Cambria" w:hAnsi="Cambria"/>
          <w:b/>
          <w:bCs/>
          <w:sz w:val="28"/>
          <w:szCs w:val="28"/>
        </w:rPr>
        <w:t>não foi entregue nenhum tipo de documento detalhando as movimentações bancárias que justificassem o valor que foi repassado</w:t>
      </w:r>
      <w:r w:rsidRPr="006F2811">
        <w:rPr>
          <w:rFonts w:ascii="Cambria" w:hAnsi="Cambria"/>
          <w:sz w:val="28"/>
          <w:szCs w:val="28"/>
        </w:rPr>
        <w:t>”.</w:t>
      </w:r>
    </w:p>
    <w:p w14:paraId="751D4D76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0318BFA" w14:textId="2D8A9CC1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 xml:space="preserve">É imperioso ressaltar que a </w:t>
      </w:r>
      <w:r w:rsidR="006E4D9F">
        <w:rPr>
          <w:rFonts w:ascii="Cambria" w:hAnsi="Cambria"/>
          <w:sz w:val="28"/>
          <w:szCs w:val="28"/>
        </w:rPr>
        <w:t>“</w:t>
      </w:r>
      <w:r w:rsidRPr="006E4D9F">
        <w:rPr>
          <w:rFonts w:ascii="Cambria" w:hAnsi="Cambria"/>
          <w:b/>
          <w:bCs/>
          <w:sz w:val="28"/>
          <w:szCs w:val="28"/>
        </w:rPr>
        <w:t>ciência dos desfalques</w:t>
      </w:r>
      <w:r w:rsidR="006E4D9F">
        <w:rPr>
          <w:rFonts w:ascii="Cambria" w:hAnsi="Cambria"/>
          <w:sz w:val="28"/>
          <w:szCs w:val="28"/>
        </w:rPr>
        <w:t>”</w:t>
      </w:r>
      <w:r w:rsidRPr="006F2811">
        <w:rPr>
          <w:rFonts w:ascii="Cambria" w:hAnsi="Cambria"/>
          <w:sz w:val="28"/>
          <w:szCs w:val="28"/>
        </w:rPr>
        <w:t xml:space="preserve"> não pode ser presumida pela simples realização do saque, especialmente quando não há a entrega de documentação detalhada que permita ao beneficiário verificar a correção do montante recebido. A Apelante, na condição de </w:t>
      </w:r>
      <w:r w:rsidRPr="006F2811">
        <w:rPr>
          <w:rFonts w:ascii="Cambria" w:hAnsi="Cambria"/>
          <w:sz w:val="28"/>
          <w:szCs w:val="28"/>
        </w:rPr>
        <w:lastRenderedPageBreak/>
        <w:t>funcionária pública, possuía uma conta no PASEP sob inscrição nº 1.</w:t>
      </w:r>
      <w:r w:rsidR="006E4D9F">
        <w:rPr>
          <w:rFonts w:ascii="Cambria" w:hAnsi="Cambria"/>
          <w:sz w:val="28"/>
          <w:szCs w:val="28"/>
        </w:rPr>
        <w:t>000</w:t>
      </w:r>
      <w:r w:rsidRPr="006F2811">
        <w:rPr>
          <w:rFonts w:ascii="Cambria" w:hAnsi="Cambria"/>
          <w:sz w:val="28"/>
          <w:szCs w:val="28"/>
        </w:rPr>
        <w:t>.</w:t>
      </w:r>
      <w:r w:rsidR="006E4D9F">
        <w:rPr>
          <w:rFonts w:ascii="Cambria" w:hAnsi="Cambria"/>
          <w:sz w:val="28"/>
          <w:szCs w:val="28"/>
        </w:rPr>
        <w:t>000</w:t>
      </w:r>
      <w:r w:rsidRPr="006F2811">
        <w:rPr>
          <w:rFonts w:ascii="Cambria" w:hAnsi="Cambria"/>
          <w:sz w:val="28"/>
          <w:szCs w:val="28"/>
        </w:rPr>
        <w:t>.</w:t>
      </w:r>
      <w:r w:rsidR="006E4D9F">
        <w:rPr>
          <w:rFonts w:ascii="Cambria" w:hAnsi="Cambria"/>
          <w:sz w:val="28"/>
          <w:szCs w:val="28"/>
        </w:rPr>
        <w:t>000</w:t>
      </w:r>
      <w:r w:rsidRPr="006F2811">
        <w:rPr>
          <w:rFonts w:ascii="Cambria" w:hAnsi="Cambria"/>
          <w:sz w:val="28"/>
          <w:szCs w:val="28"/>
        </w:rPr>
        <w:t>-3. A complexidade da gestão dos fundos do PASEP e a falta de transparência na disponibilização de extratos detalhados por parte do Banco do Brasil impediram que a Apelante tivesse conhecimento inequívoco de qualquer irregularidade no momento do saque.</w:t>
      </w:r>
    </w:p>
    <w:p w14:paraId="07D39CB6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5C2FB002" w14:textId="5D59A1ED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 xml:space="preserve">Somente em 2024, com a ampla divulgação de notícias sobre possíveis falhas na gestão do PASEP, a Apelante buscou o banco e obteve as microfichas de sua conta individual. Foi com base nesses documentos, e após a contratação de um especialista para revisão dos cálculos, que a Apelante teve, pela primeira vez, a </w:t>
      </w:r>
      <w:r w:rsidRPr="006E4D9F">
        <w:rPr>
          <w:rFonts w:ascii="Cambria" w:hAnsi="Cambria"/>
          <w:b/>
          <w:bCs/>
          <w:sz w:val="28"/>
          <w:szCs w:val="28"/>
        </w:rPr>
        <w:t>ciência inequívoca</w:t>
      </w:r>
      <w:r w:rsidRPr="006F2811">
        <w:rPr>
          <w:rFonts w:ascii="Cambria" w:hAnsi="Cambria"/>
          <w:sz w:val="28"/>
          <w:szCs w:val="28"/>
        </w:rPr>
        <w:t xml:space="preserve"> dos desfalques, constatando que o valor correto deveria ser de </w:t>
      </w:r>
      <w:r w:rsidRPr="006E4D9F">
        <w:rPr>
          <w:rFonts w:ascii="Cambria" w:hAnsi="Cambria"/>
          <w:b/>
          <w:bCs/>
          <w:sz w:val="28"/>
          <w:szCs w:val="28"/>
        </w:rPr>
        <w:t>R$ 33.689,08</w:t>
      </w:r>
      <w:r w:rsidRPr="006F2811">
        <w:rPr>
          <w:rFonts w:ascii="Cambria" w:hAnsi="Cambria"/>
          <w:sz w:val="28"/>
          <w:szCs w:val="28"/>
        </w:rPr>
        <w:t>.</w:t>
      </w:r>
    </w:p>
    <w:p w14:paraId="2C80264B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4B49D32D" w14:textId="44D99649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 xml:space="preserve">A teoria da </w:t>
      </w:r>
      <w:proofErr w:type="spellStart"/>
      <w:r w:rsidRPr="006E4D9F">
        <w:rPr>
          <w:rFonts w:ascii="Cambria" w:hAnsi="Cambria"/>
          <w:b/>
          <w:bCs/>
          <w:i/>
          <w:iCs/>
          <w:sz w:val="28"/>
          <w:szCs w:val="28"/>
        </w:rPr>
        <w:t>actio</w:t>
      </w:r>
      <w:proofErr w:type="spellEnd"/>
      <w:r w:rsidRPr="006E4D9F">
        <w:rPr>
          <w:rFonts w:ascii="Cambria" w:hAnsi="Cambria"/>
          <w:b/>
          <w:bCs/>
          <w:i/>
          <w:iCs/>
          <w:sz w:val="28"/>
          <w:szCs w:val="28"/>
        </w:rPr>
        <w:t xml:space="preserve"> nata</w:t>
      </w:r>
      <w:r w:rsidRPr="006F2811">
        <w:rPr>
          <w:rFonts w:ascii="Cambria" w:hAnsi="Cambria"/>
          <w:sz w:val="28"/>
          <w:szCs w:val="28"/>
        </w:rPr>
        <w:t xml:space="preserve"> preconiza que </w:t>
      </w:r>
      <w:r w:rsidR="006E4D9F">
        <w:rPr>
          <w:rFonts w:ascii="Cambria" w:hAnsi="Cambria"/>
          <w:sz w:val="28"/>
          <w:szCs w:val="28"/>
        </w:rPr>
        <w:t>“</w:t>
      </w:r>
      <w:r w:rsidRPr="006E4D9F">
        <w:rPr>
          <w:rFonts w:ascii="Cambria" w:hAnsi="Cambria"/>
          <w:b/>
          <w:bCs/>
          <w:sz w:val="28"/>
          <w:szCs w:val="28"/>
        </w:rPr>
        <w:t>o fluxo do prazo prescricional somente terá início quando o direito estiver em condições de ser exercitado pelo seu titular</w:t>
      </w:r>
      <w:r w:rsidR="006E4D9F">
        <w:rPr>
          <w:rFonts w:ascii="Cambria" w:hAnsi="Cambria"/>
          <w:sz w:val="28"/>
          <w:szCs w:val="28"/>
        </w:rPr>
        <w:t>”</w:t>
      </w:r>
      <w:r w:rsidRPr="006F2811">
        <w:rPr>
          <w:rFonts w:ascii="Cambria" w:hAnsi="Cambria"/>
          <w:sz w:val="28"/>
          <w:szCs w:val="28"/>
        </w:rPr>
        <w:t>.</w:t>
      </w:r>
      <w:r w:rsidR="006E4D9F">
        <w:rPr>
          <w:rFonts w:ascii="Cambria" w:hAnsi="Cambria"/>
          <w:sz w:val="28"/>
          <w:szCs w:val="28"/>
        </w:rPr>
        <w:t xml:space="preserve"> </w:t>
      </w:r>
      <w:r w:rsidRPr="006F2811">
        <w:rPr>
          <w:rFonts w:ascii="Cambria" w:hAnsi="Cambria"/>
          <w:sz w:val="28"/>
          <w:szCs w:val="28"/>
        </w:rPr>
        <w:t xml:space="preserve">Conforme a lição doutrinária citada na própria sentença, </w:t>
      </w:r>
      <w:r w:rsidR="006E4D9F">
        <w:rPr>
          <w:rFonts w:ascii="Cambria" w:hAnsi="Cambria"/>
          <w:sz w:val="28"/>
          <w:szCs w:val="28"/>
        </w:rPr>
        <w:t>“</w:t>
      </w:r>
      <w:r w:rsidRPr="006F2811">
        <w:rPr>
          <w:rFonts w:ascii="Cambria" w:hAnsi="Cambria"/>
          <w:sz w:val="28"/>
          <w:szCs w:val="28"/>
        </w:rPr>
        <w:t>Não se pode perder por inércia um direito que, posto existente, ainda não se pode exigir</w:t>
      </w:r>
      <w:r w:rsidR="006E4D9F">
        <w:rPr>
          <w:rFonts w:ascii="Cambria" w:hAnsi="Cambria"/>
          <w:sz w:val="28"/>
          <w:szCs w:val="28"/>
        </w:rPr>
        <w:t>”</w:t>
      </w:r>
      <w:r w:rsidRPr="006F2811">
        <w:rPr>
          <w:rFonts w:ascii="Cambria" w:hAnsi="Cambria"/>
          <w:sz w:val="28"/>
          <w:szCs w:val="28"/>
        </w:rPr>
        <w:t xml:space="preserve">. E ainda: </w:t>
      </w:r>
      <w:r w:rsidR="006E4D9F">
        <w:rPr>
          <w:rFonts w:ascii="Cambria" w:hAnsi="Cambria"/>
          <w:sz w:val="28"/>
          <w:szCs w:val="28"/>
        </w:rPr>
        <w:t>“</w:t>
      </w:r>
      <w:r w:rsidRPr="006E4D9F">
        <w:rPr>
          <w:rFonts w:ascii="Cambria" w:hAnsi="Cambria"/>
          <w:b/>
          <w:bCs/>
          <w:sz w:val="28"/>
          <w:szCs w:val="28"/>
        </w:rPr>
        <w:t>o prazo prescricional corre a partir do momento em que o credor pode lançar mão da pretensão, se necessário, por uma ação em juízo</w:t>
      </w:r>
      <w:r w:rsidR="006E4D9F">
        <w:rPr>
          <w:rFonts w:ascii="Cambria" w:hAnsi="Cambria"/>
          <w:sz w:val="28"/>
          <w:szCs w:val="28"/>
        </w:rPr>
        <w:t>”</w:t>
      </w:r>
      <w:r w:rsidRPr="006F2811">
        <w:rPr>
          <w:rFonts w:ascii="Cambria" w:hAnsi="Cambria"/>
          <w:sz w:val="28"/>
          <w:szCs w:val="28"/>
        </w:rPr>
        <w:t>.</w:t>
      </w:r>
    </w:p>
    <w:p w14:paraId="6A374D92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6A7CD47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No presente caso, o direito de ação para questionar os desfalques somente pôde ser exercitado quando a Apelante teve acesso à documentação necessária para identificar as irregularidades, ou seja, as microfichas da conta. Antes disso, qualquer pretensão estaria fadada ao insucesso por ausência de elementos probatórios.</w:t>
      </w:r>
    </w:p>
    <w:p w14:paraId="4E7B0491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06B1E78" w14:textId="02CF0108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lastRenderedPageBreak/>
        <w:t xml:space="preserve">A jurisprudência colacionada pela própria sentença, embora reconheça o saque como marco inicial em alguns casos, trata de situações em que o beneficiário </w:t>
      </w:r>
      <w:r w:rsidRPr="006E4D9F">
        <w:rPr>
          <w:rFonts w:ascii="Cambria" w:hAnsi="Cambria"/>
          <w:b/>
          <w:bCs/>
          <w:sz w:val="28"/>
          <w:szCs w:val="28"/>
        </w:rPr>
        <w:t>tinha condições</w:t>
      </w:r>
      <w:r w:rsidRPr="006F2811">
        <w:rPr>
          <w:rFonts w:ascii="Cambria" w:hAnsi="Cambria"/>
          <w:sz w:val="28"/>
          <w:szCs w:val="28"/>
        </w:rPr>
        <w:t xml:space="preserve"> de observar a suposta irregularidade no momento do saque. No entanto, o presente caso se distingue, </w:t>
      </w:r>
      <w:r w:rsidR="006E4D9F" w:rsidRPr="006F2811">
        <w:rPr>
          <w:rFonts w:ascii="Cambria" w:hAnsi="Cambria"/>
          <w:sz w:val="28"/>
          <w:szCs w:val="28"/>
        </w:rPr>
        <w:t>pois,</w:t>
      </w:r>
      <w:r w:rsidRPr="006F2811">
        <w:rPr>
          <w:rFonts w:ascii="Cambria" w:hAnsi="Cambria"/>
          <w:sz w:val="28"/>
          <w:szCs w:val="28"/>
        </w:rPr>
        <w:t xml:space="preserve"> a ausência de documentação detalhada inviabilizou essa ciência. A Apelante não tinha como </w:t>
      </w:r>
      <w:r w:rsidR="006E4D9F">
        <w:rPr>
          <w:rFonts w:ascii="Cambria" w:hAnsi="Cambria"/>
          <w:sz w:val="28"/>
          <w:szCs w:val="28"/>
        </w:rPr>
        <w:t>“</w:t>
      </w:r>
      <w:r w:rsidRPr="006E4D9F">
        <w:rPr>
          <w:rFonts w:ascii="Cambria" w:hAnsi="Cambria"/>
          <w:b/>
          <w:bCs/>
          <w:sz w:val="28"/>
          <w:szCs w:val="28"/>
        </w:rPr>
        <w:t>comprovar</w:t>
      </w:r>
      <w:r w:rsidR="006E4D9F">
        <w:rPr>
          <w:rFonts w:ascii="Cambria" w:hAnsi="Cambria"/>
          <w:sz w:val="28"/>
          <w:szCs w:val="28"/>
        </w:rPr>
        <w:t>”</w:t>
      </w:r>
      <w:r w:rsidRPr="006F2811">
        <w:rPr>
          <w:rFonts w:ascii="Cambria" w:hAnsi="Cambria"/>
          <w:sz w:val="28"/>
          <w:szCs w:val="28"/>
        </w:rPr>
        <w:t xml:space="preserve"> os desfalques antes de ter acesso aos extratos microfilmados.</w:t>
      </w:r>
    </w:p>
    <w:p w14:paraId="087CBBBC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343AE27B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Admitir o saque como termo inicial da prescrição, sem a efetiva possibilidade de conhecimento da violação do direito, implicaria em um cerceamento do direito de acesso à justiça e desvirtuaria o propósito do instituto da prescrição, que é a segurança jurídica, mas que não pode se sobrepor à justiça material quando a parte não dispõe dos meios para agir.</w:t>
      </w:r>
    </w:p>
    <w:p w14:paraId="520F5197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30B9DD95" w14:textId="6EC20B16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Portanto, o termo inicial para a contagem do prazo prescricional decenal (</w:t>
      </w:r>
      <w:r w:rsidRPr="006E4D9F">
        <w:rPr>
          <w:rFonts w:ascii="Cambria" w:hAnsi="Cambria"/>
          <w:b/>
          <w:bCs/>
          <w:sz w:val="28"/>
          <w:szCs w:val="28"/>
        </w:rPr>
        <w:t>art. 205 do Código Civil</w:t>
      </w:r>
      <w:r w:rsidRPr="006F2811">
        <w:rPr>
          <w:rFonts w:ascii="Cambria" w:hAnsi="Cambria"/>
          <w:sz w:val="28"/>
          <w:szCs w:val="28"/>
        </w:rPr>
        <w:t xml:space="preserve">) deve ser o momento em que a Apelante obteve acesso às microfichas de sua conta PASEP, em 2024, e não a data do saque em 2010. Desta forma, a presente ação, ajuizada em 2025, encontra-se </w:t>
      </w:r>
      <w:r w:rsidRPr="006E4D9F">
        <w:rPr>
          <w:rFonts w:ascii="Cambria" w:hAnsi="Cambria"/>
          <w:b/>
          <w:bCs/>
          <w:sz w:val="28"/>
          <w:szCs w:val="28"/>
        </w:rPr>
        <w:t>dentro do prazo legal</w:t>
      </w:r>
      <w:r w:rsidRPr="006F2811">
        <w:rPr>
          <w:rFonts w:ascii="Cambria" w:hAnsi="Cambria"/>
          <w:sz w:val="28"/>
          <w:szCs w:val="28"/>
        </w:rPr>
        <w:t>.</w:t>
      </w:r>
    </w:p>
    <w:p w14:paraId="65765ACB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8860A65" w14:textId="065CD8EE" w:rsidR="006F2811" w:rsidRPr="006E4D9F" w:rsidRDefault="006F2811" w:rsidP="006F2811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6E4D9F">
        <w:rPr>
          <w:rFonts w:ascii="Cambria" w:hAnsi="Cambria"/>
          <w:b/>
          <w:bCs/>
          <w:sz w:val="28"/>
          <w:szCs w:val="28"/>
        </w:rPr>
        <w:t>III. DO PEDIDO</w:t>
      </w:r>
    </w:p>
    <w:p w14:paraId="194986B5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34C18234" w14:textId="6C3C1075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 xml:space="preserve">Diante do exposto, requer a Apelante que este Egrégio Tribunal de Justiça conheça e </w:t>
      </w:r>
      <w:r w:rsidRPr="0091649A">
        <w:rPr>
          <w:rFonts w:ascii="Cambria" w:hAnsi="Cambria"/>
          <w:b/>
          <w:bCs/>
          <w:sz w:val="28"/>
          <w:szCs w:val="28"/>
        </w:rPr>
        <w:t>DÊ PROVIMENTO</w:t>
      </w:r>
      <w:r w:rsidRPr="006F2811">
        <w:rPr>
          <w:rFonts w:ascii="Cambria" w:hAnsi="Cambria"/>
          <w:sz w:val="28"/>
          <w:szCs w:val="28"/>
        </w:rPr>
        <w:t xml:space="preserve"> ao presente Recurso de Apelação para:</w:t>
      </w:r>
    </w:p>
    <w:p w14:paraId="7EACE46C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49C3F3C7" w14:textId="330D9D12" w:rsid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91649A">
        <w:rPr>
          <w:rFonts w:ascii="Cambria" w:hAnsi="Cambria"/>
          <w:b/>
          <w:bCs/>
          <w:sz w:val="28"/>
          <w:szCs w:val="28"/>
        </w:rPr>
        <w:lastRenderedPageBreak/>
        <w:t>1.</w:t>
      </w:r>
      <w:r w:rsidRPr="006F2811">
        <w:rPr>
          <w:rFonts w:ascii="Cambria" w:hAnsi="Cambria"/>
          <w:sz w:val="28"/>
          <w:szCs w:val="28"/>
        </w:rPr>
        <w:t xml:space="preserve">  Reformar a r. sentença de fls. </w:t>
      </w:r>
      <w:r w:rsidRPr="0091649A">
        <w:rPr>
          <w:rFonts w:ascii="Cambria" w:hAnsi="Cambria"/>
          <w:b/>
          <w:bCs/>
          <w:sz w:val="28"/>
          <w:szCs w:val="28"/>
        </w:rPr>
        <w:t>216/222</w:t>
      </w:r>
      <w:r w:rsidRPr="006F2811">
        <w:rPr>
          <w:rFonts w:ascii="Cambria" w:hAnsi="Cambria"/>
          <w:sz w:val="28"/>
          <w:szCs w:val="28"/>
        </w:rPr>
        <w:t>, afastando a preliminar de prescrição.</w:t>
      </w:r>
    </w:p>
    <w:p w14:paraId="03ACA137" w14:textId="77777777" w:rsidR="0091649A" w:rsidRPr="006F2811" w:rsidRDefault="0091649A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D6BEC89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91649A">
        <w:rPr>
          <w:rFonts w:ascii="Cambria" w:hAnsi="Cambria"/>
          <w:b/>
          <w:bCs/>
          <w:sz w:val="28"/>
          <w:szCs w:val="28"/>
        </w:rPr>
        <w:t>2.</w:t>
      </w:r>
      <w:r w:rsidRPr="006F2811">
        <w:rPr>
          <w:rFonts w:ascii="Cambria" w:hAnsi="Cambria"/>
          <w:sz w:val="28"/>
          <w:szCs w:val="28"/>
        </w:rPr>
        <w:t xml:space="preserve">  Determinar o retorno dos autos à Vara de origem para regular prosseguimento do feito, com a análise do mérito da demanda, ou, se for o caso, para que este Tribunal proceda ao julgamento do mérito, nos termos do artigo 1.013, § 3º, do Código de Processo Civil.</w:t>
      </w:r>
    </w:p>
    <w:p w14:paraId="305E3C68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A402658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Requer, por fim, a condenação do Apelado ao pagamento das custas processuais e honorários advocatícios, a serem fixados nos termos do artigo 85, § 2º, do Código de Processo Civil.</w:t>
      </w:r>
    </w:p>
    <w:p w14:paraId="7A0BB929" w14:textId="77777777" w:rsidR="006F2811" w:rsidRPr="006F2811" w:rsidRDefault="006F2811" w:rsidP="006F2811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ECB46C4" w14:textId="77777777" w:rsidR="006F2811" w:rsidRPr="006F2811" w:rsidRDefault="006F2811" w:rsidP="00230D56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Nestes termos,</w:t>
      </w:r>
    </w:p>
    <w:p w14:paraId="4766A432" w14:textId="77777777" w:rsidR="006F2811" w:rsidRPr="006F2811" w:rsidRDefault="006F2811" w:rsidP="00230D56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Pede deferimento.</w:t>
      </w:r>
    </w:p>
    <w:p w14:paraId="47B5E795" w14:textId="77777777" w:rsidR="006F2811" w:rsidRPr="006F2811" w:rsidRDefault="006F2811" w:rsidP="00230D56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</w:p>
    <w:p w14:paraId="28821BAB" w14:textId="77777777" w:rsidR="006F2811" w:rsidRPr="006F2811" w:rsidRDefault="006F2811" w:rsidP="00230D56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>Barra Bonita, 25 de julho de 2025.</w:t>
      </w:r>
    </w:p>
    <w:p w14:paraId="226C2F1D" w14:textId="77777777" w:rsidR="006F2811" w:rsidRPr="006F2811" w:rsidRDefault="006F2811" w:rsidP="00230D56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</w:p>
    <w:p w14:paraId="2B5823A8" w14:textId="6631EB5D" w:rsidR="006F2811" w:rsidRPr="00230D56" w:rsidRDefault="006F2811" w:rsidP="00230D56">
      <w:pPr>
        <w:spacing w:after="0" w:line="36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230D56">
        <w:rPr>
          <w:rFonts w:ascii="Cambria" w:hAnsi="Cambria"/>
          <w:b/>
          <w:bCs/>
          <w:sz w:val="28"/>
          <w:szCs w:val="28"/>
        </w:rPr>
        <w:t>Advogado(a)</w:t>
      </w:r>
    </w:p>
    <w:p w14:paraId="6A234284" w14:textId="2A53DC77" w:rsidR="0017646F" w:rsidRPr="006F2811" w:rsidRDefault="006F2811" w:rsidP="00230D56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6F2811">
        <w:rPr>
          <w:rFonts w:ascii="Cambria" w:hAnsi="Cambria"/>
          <w:sz w:val="28"/>
          <w:szCs w:val="28"/>
        </w:rPr>
        <w:t xml:space="preserve">OAB/SP nº </w:t>
      </w:r>
      <w:r w:rsidR="00230D56">
        <w:rPr>
          <w:rFonts w:ascii="Cambria" w:hAnsi="Cambria"/>
          <w:sz w:val="28"/>
          <w:szCs w:val="28"/>
        </w:rPr>
        <w:t>00.00</w:t>
      </w:r>
    </w:p>
    <w:sectPr w:rsidR="0017646F" w:rsidRPr="006F28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11"/>
    <w:rsid w:val="0017646F"/>
    <w:rsid w:val="00230D56"/>
    <w:rsid w:val="00630B74"/>
    <w:rsid w:val="006E4D9F"/>
    <w:rsid w:val="006F2811"/>
    <w:rsid w:val="00806FE7"/>
    <w:rsid w:val="008C267E"/>
    <w:rsid w:val="0091649A"/>
    <w:rsid w:val="009447E3"/>
    <w:rsid w:val="00B2067C"/>
    <w:rsid w:val="00CA282D"/>
    <w:rsid w:val="00FC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F22F"/>
  <w15:chartTrackingRefBased/>
  <w15:docId w15:val="{D98A303B-2FE8-481E-B848-00E66ADC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2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F2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F28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2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28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2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2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2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2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28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28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F28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281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281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28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28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28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28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2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2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2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2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2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28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281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281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28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281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28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1237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 DOS SANTOS</dc:creator>
  <cp:keywords/>
  <dc:description/>
  <cp:lastModifiedBy>VALTER DOS SANTOS</cp:lastModifiedBy>
  <cp:revision>6</cp:revision>
  <dcterms:created xsi:type="dcterms:W3CDTF">2025-07-25T22:09:00Z</dcterms:created>
  <dcterms:modified xsi:type="dcterms:W3CDTF">2026-02-25T22:24:00Z</dcterms:modified>
</cp:coreProperties>
</file>