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72" w:rsidRPr="00D75E2C" w:rsidRDefault="006C30A5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EE4CA0">
        <w:rPr>
          <w:rFonts w:ascii="Cambria" w:hAnsi="Cambria"/>
          <w:b/>
          <w:sz w:val="28"/>
          <w:szCs w:val="28"/>
        </w:rPr>
        <w:t>DIRETOR</w:t>
      </w:r>
      <w:r w:rsidR="00187BFE">
        <w:rPr>
          <w:rFonts w:ascii="Cambria" w:hAnsi="Cambria"/>
          <w:b/>
          <w:sz w:val="28"/>
          <w:szCs w:val="28"/>
        </w:rPr>
        <w:t>-GERAL</w:t>
      </w:r>
      <w:r>
        <w:rPr>
          <w:rFonts w:ascii="Cambria" w:hAnsi="Cambria"/>
          <w:b/>
          <w:sz w:val="28"/>
          <w:szCs w:val="28"/>
        </w:rPr>
        <w:t xml:space="preserve"> DO </w:t>
      </w:r>
      <w:r w:rsidRPr="000333E8">
        <w:rPr>
          <w:rFonts w:ascii="Cambria" w:hAnsi="Cambria"/>
          <w:b/>
          <w:sz w:val="28"/>
          <w:szCs w:val="28"/>
        </w:rPr>
        <w:t xml:space="preserve">DEPARTAMENTO </w:t>
      </w:r>
      <w:r>
        <w:rPr>
          <w:rFonts w:ascii="Cambria" w:hAnsi="Cambria"/>
          <w:b/>
          <w:sz w:val="28"/>
          <w:szCs w:val="28"/>
        </w:rPr>
        <w:t xml:space="preserve">ESTADUAL DE TRÂNSITO </w:t>
      </w:r>
      <w:r w:rsidR="00C76C4F">
        <w:rPr>
          <w:rFonts w:ascii="Cambria" w:hAnsi="Cambria"/>
          <w:b/>
          <w:sz w:val="28"/>
          <w:szCs w:val="28"/>
        </w:rPr>
        <w:t xml:space="preserve">DO ESTADO DE SÃO PAULO </w:t>
      </w:r>
      <w:r>
        <w:rPr>
          <w:rFonts w:ascii="Cambria" w:hAnsi="Cambria"/>
          <w:b/>
          <w:sz w:val="28"/>
          <w:szCs w:val="28"/>
        </w:rPr>
        <w:t>- DETRAN/</w:t>
      </w:r>
      <w:r w:rsidR="00A61E75">
        <w:rPr>
          <w:rFonts w:ascii="Cambria" w:hAnsi="Cambria"/>
          <w:b/>
          <w:sz w:val="28"/>
          <w:szCs w:val="28"/>
        </w:rPr>
        <w:t>SP</w:t>
      </w:r>
      <w:r>
        <w:rPr>
          <w:rFonts w:ascii="Cambria" w:hAnsi="Cambria"/>
          <w:b/>
          <w:sz w:val="28"/>
          <w:szCs w:val="28"/>
        </w:rPr>
        <w:t>.</w:t>
      </w:r>
    </w:p>
    <w:p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75643F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A52FB5" w:rsidRPr="000F19DF">
        <w:rPr>
          <w:rFonts w:ascii="Cambria" w:hAnsi="Cambria" w:cs="Calibri Light"/>
          <w:sz w:val="26"/>
          <w:szCs w:val="26"/>
        </w:rPr>
        <w:t>Processo Administrativo nº</w:t>
      </w:r>
      <w:r w:rsidR="000F19DF" w:rsidRPr="000F19DF">
        <w:rPr>
          <w:rFonts w:ascii="Cambria" w:hAnsi="Cambria" w:cs="Calibri Light"/>
          <w:sz w:val="26"/>
          <w:szCs w:val="26"/>
        </w:rPr>
        <w:t xml:space="preserve"> </w:t>
      </w:r>
      <w:r w:rsidR="00DD5E43" w:rsidRPr="00DD5E43">
        <w:rPr>
          <w:rFonts w:ascii="Cambria" w:hAnsi="Cambria" w:cs="Calibri Light"/>
          <w:b/>
          <w:sz w:val="26"/>
          <w:szCs w:val="26"/>
        </w:rPr>
        <w:t>0001807/2018</w:t>
      </w: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F24E74" w:rsidRPr="007949BC" w:rsidRDefault="00AE690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AE6909">
        <w:rPr>
          <w:rFonts w:asciiTheme="majorHAnsi" w:eastAsia="Batang" w:hAnsiTheme="majorHAnsi" w:cs="Calibri Light"/>
          <w:b/>
          <w:sz w:val="26"/>
          <w:szCs w:val="26"/>
        </w:rPr>
        <w:t>CAMILA DE PAULA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4633FD">
        <w:rPr>
          <w:rFonts w:asciiTheme="majorHAnsi" w:eastAsia="Batang" w:hAnsiTheme="majorHAnsi" w:cs="Calibri Light"/>
          <w:sz w:val="26"/>
          <w:szCs w:val="26"/>
        </w:rPr>
        <w:t>com</w:t>
      </w:r>
      <w:r w:rsidR="00A52FB5" w:rsidRPr="004633FD">
        <w:t xml:space="preserve"> </w:t>
      </w:r>
      <w:r w:rsidR="004633FD" w:rsidRPr="004633FD">
        <w:rPr>
          <w:rFonts w:asciiTheme="majorHAnsi" w:eastAsia="Batang" w:hAnsiTheme="majorHAnsi" w:cs="Calibri Light"/>
          <w:sz w:val="26"/>
          <w:szCs w:val="26"/>
        </w:rPr>
        <w:t>número de inscrição no Cadastro de Pessoas Físicas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CPF/MF sob o nº 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332.058.538-06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titular da carteira de identidade RG nº 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43.325.971</w:t>
      </w:r>
      <w:r w:rsidR="00200A2E" w:rsidRPr="00200A2E">
        <w:rPr>
          <w:rFonts w:asciiTheme="majorHAnsi" w:eastAsia="Batang" w:hAnsiTheme="majorHAnsi" w:cs="Calibri Light"/>
          <w:b/>
          <w:sz w:val="26"/>
          <w:szCs w:val="26"/>
        </w:rPr>
        <w:t xml:space="preserve"> </w:t>
      </w:r>
      <w:r w:rsidR="00E26CF6" w:rsidRPr="00B82B4F">
        <w:rPr>
          <w:rFonts w:asciiTheme="majorHAnsi" w:eastAsia="Batang" w:hAnsiTheme="majorHAnsi" w:cs="Calibri Light"/>
          <w:b/>
          <w:sz w:val="26"/>
          <w:szCs w:val="26"/>
        </w:rPr>
        <w:t>SSP/SP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C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arteira </w:t>
      </w:r>
      <w:r w:rsidR="00651E39" w:rsidRPr="00651E39">
        <w:rPr>
          <w:rFonts w:asciiTheme="majorHAnsi" w:eastAsia="Batang" w:hAnsiTheme="majorHAnsi" w:cs="Calibri Light"/>
          <w:b/>
          <w:sz w:val="26"/>
          <w:szCs w:val="26"/>
        </w:rPr>
        <w:t>N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acional de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H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abilitação 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com número de registro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045.766.856-53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,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>residente e domiciliad</w:t>
      </w:r>
      <w:r w:rsidR="007607DD">
        <w:rPr>
          <w:rFonts w:asciiTheme="majorHAnsi" w:eastAsia="Batang" w:hAnsiTheme="majorHAnsi" w:cs="Calibri Light"/>
          <w:sz w:val="26"/>
          <w:szCs w:val="26"/>
        </w:rPr>
        <w:t>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na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Rua de Pedra, nº 111, </w:t>
      </w:r>
      <w:r w:rsidR="00A52FB5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A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partamento 82 </w:t>
      </w:r>
      <w:r w:rsidR="00A52FB5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B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loco B - Jardim Caravelas, CEP </w:t>
      </w:r>
      <w:r w:rsidR="00973CDE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00000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-020, São Paulo/SP</w:t>
      </w:r>
      <w:r w:rsidR="007607DD" w:rsidRPr="007607DD">
        <w:rPr>
          <w:rFonts w:asciiTheme="majorHAnsi" w:eastAsia="Batang" w:hAnsiTheme="majorHAnsi" w:cs="Calibri Light"/>
          <w:sz w:val="26"/>
          <w:szCs w:val="26"/>
        </w:rPr>
        <w:t>,</w:t>
      </w:r>
      <w:r w:rsidR="003E6A18" w:rsidRPr="00B82B4F">
        <w:rPr>
          <w:rFonts w:ascii="Cambria" w:hAnsi="Cambria" w:cs="Courier New"/>
          <w:sz w:val="26"/>
          <w:szCs w:val="26"/>
        </w:rPr>
        <w:t xml:space="preserve"> </w:t>
      </w:r>
      <w:r w:rsidR="003E6A18" w:rsidRPr="00B82B4F">
        <w:rPr>
          <w:rFonts w:ascii="Cambria" w:hAnsi="Cambria" w:cs="Calibri Light"/>
          <w:sz w:val="26"/>
          <w:szCs w:val="26"/>
        </w:rPr>
        <w:t>vem, respeitosamente, à presença de Vossa S</w:t>
      </w:r>
      <w:r w:rsidR="003E6A18" w:rsidRPr="007949BC">
        <w:rPr>
          <w:rFonts w:ascii="Cambria" w:hAnsi="Cambria" w:cs="Calibri Light"/>
          <w:sz w:val="26"/>
          <w:szCs w:val="26"/>
        </w:rPr>
        <w:t xml:space="preserve">enhoria, </w:t>
      </w:r>
      <w:proofErr w:type="gramStart"/>
      <w:r w:rsidR="009A6EFB">
        <w:rPr>
          <w:rFonts w:ascii="Cambria" w:hAnsi="Cambria" w:cs="Calibri Light"/>
          <w:sz w:val="26"/>
          <w:szCs w:val="26"/>
        </w:rPr>
        <w:t>apresentar</w:t>
      </w:r>
      <w:proofErr w:type="gramEnd"/>
    </w:p>
    <w:p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:rsidR="00A33025" w:rsidRPr="003D4D28" w:rsidRDefault="000F19DF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PRÉVIA</w:t>
      </w:r>
    </w:p>
    <w:p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proofErr w:type="gramStart"/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>equerendo</w:t>
      </w:r>
      <w:proofErr w:type="gramEnd"/>
      <w:r w:rsidR="005E1D89">
        <w:rPr>
          <w:rFonts w:ascii="Cambria" w:hAnsi="Cambria" w:cs="Calibri Light"/>
          <w:sz w:val="26"/>
          <w:szCs w:val="26"/>
        </w:rPr>
        <w:t xml:space="preserve">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rocesso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A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dministrativo para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I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mposição da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enalidade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S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uspensão do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ireito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irigir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>Art. 265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11 da </w:t>
      </w:r>
      <w:r w:rsidR="00531587" w:rsidRPr="00531587">
        <w:rPr>
          <w:rFonts w:ascii="Cambria" w:hAnsi="Cambria" w:cs="Calibri Light"/>
          <w:sz w:val="26"/>
          <w:szCs w:val="26"/>
        </w:rPr>
        <w:t>Resolução nº 723, de 06 de fevereiro de 2018</w:t>
      </w:r>
      <w:r w:rsidR="00531587" w:rsidRPr="00D75E2C">
        <w:rPr>
          <w:rFonts w:ascii="Cambria" w:hAnsi="Cambria" w:cs="Calibri Light"/>
          <w:sz w:val="26"/>
          <w:szCs w:val="26"/>
        </w:rPr>
        <w:t>,</w:t>
      </w:r>
      <w:r w:rsidR="00523064" w:rsidRPr="00D75E2C">
        <w:rPr>
          <w:rFonts w:ascii="Cambria" w:hAnsi="Cambria" w:cs="Calibri Light"/>
          <w:sz w:val="26"/>
          <w:szCs w:val="26"/>
        </w:rPr>
        <w:t xml:space="preserve"> </w:t>
      </w:r>
      <w:r w:rsidR="00CF49CD" w:rsidRPr="00D75E2C">
        <w:rPr>
          <w:rFonts w:ascii="Cambria" w:hAnsi="Cambria" w:cs="Calibri Light"/>
          <w:sz w:val="26"/>
          <w:szCs w:val="26"/>
        </w:rPr>
        <w:t>do Conselho Nacional de Trânsito – CONTRAN, pelos fatos e fundamentos a seguir aduzidos:</w:t>
      </w:r>
    </w:p>
    <w:p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:rsidR="00D03BB7" w:rsidRDefault="006508D3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A</w:t>
      </w:r>
      <w:r w:rsidR="00D03BB7">
        <w:rPr>
          <w:rFonts w:ascii="Cambria" w:hAnsi="Cambria" w:cs="Calibri Light"/>
          <w:sz w:val="26"/>
          <w:szCs w:val="26"/>
        </w:rPr>
        <w:t xml:space="preserve"> Recorrente após previamente notificad</w:t>
      </w:r>
      <w:r>
        <w:rPr>
          <w:rFonts w:ascii="Cambria" w:hAnsi="Cambria" w:cs="Calibri Light"/>
          <w:sz w:val="26"/>
          <w:szCs w:val="26"/>
        </w:rPr>
        <w:t>a</w:t>
      </w:r>
      <w:r w:rsidR="00D03BB7">
        <w:rPr>
          <w:rFonts w:ascii="Cambria" w:hAnsi="Cambria" w:cs="Calibri Light"/>
          <w:sz w:val="26"/>
          <w:szCs w:val="26"/>
        </w:rPr>
        <w:t xml:space="preserve"> da instauração do </w:t>
      </w:r>
      <w:r w:rsidR="00D03BB7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</w:t>
      </w:r>
      <w:r w:rsidR="00D03BB7" w:rsidRPr="00D03BB7">
        <w:rPr>
          <w:rFonts w:ascii="Cambria" w:hAnsi="Cambria" w:cs="Calibri Light"/>
          <w:b/>
          <w:sz w:val="26"/>
          <w:szCs w:val="26"/>
        </w:rPr>
        <w:t xml:space="preserve">r, </w:t>
      </w:r>
      <w:r w:rsidR="00D03BB7">
        <w:rPr>
          <w:rFonts w:ascii="Cambria" w:hAnsi="Cambria" w:cs="Calibri Light"/>
          <w:sz w:val="26"/>
          <w:szCs w:val="26"/>
        </w:rPr>
        <w:t>avi</w:t>
      </w:r>
      <w:r w:rsidR="000F19DF">
        <w:rPr>
          <w:rFonts w:ascii="Cambria" w:hAnsi="Cambria" w:cs="Calibri Light"/>
          <w:sz w:val="26"/>
          <w:szCs w:val="26"/>
        </w:rPr>
        <w:t>a as teses seguintes</w:t>
      </w:r>
      <w:r w:rsidR="006D6963">
        <w:rPr>
          <w:rFonts w:ascii="Cambria" w:hAnsi="Cambria" w:cs="Calibri Light"/>
          <w:sz w:val="26"/>
          <w:szCs w:val="26"/>
        </w:rPr>
        <w:t>:</w:t>
      </w:r>
    </w:p>
    <w:p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para imposição da penalidade de 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</w:t>
      </w:r>
      <w:proofErr w:type="gramStart"/>
      <w:r w:rsidR="006C12A7" w:rsidRPr="006C12A7">
        <w:rPr>
          <w:rFonts w:ascii="Cambria" w:hAnsi="Cambria" w:cs="Calibri Light"/>
          <w:sz w:val="26"/>
          <w:szCs w:val="26"/>
        </w:rPr>
        <w:t>deve-se</w:t>
      </w:r>
      <w:proofErr w:type="gramEnd"/>
      <w:r w:rsidR="006C12A7" w:rsidRPr="006C12A7">
        <w:rPr>
          <w:rFonts w:ascii="Cambria" w:hAnsi="Cambria" w:cs="Calibri Light"/>
          <w:sz w:val="26"/>
          <w:szCs w:val="26"/>
        </w:rPr>
        <w:t xml:space="preserve"> esgotar todas as possibilidades de defesa das autuações, para só então instaurar-se o processo de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>, sob pena de ferir vários princípios constitucionais, conforme mostraremos abaixo.</w:t>
      </w:r>
    </w:p>
    <w:p w:rsidR="006C12A7" w:rsidRP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CD225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Para que a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 w:rsidRPr="00605AB9">
        <w:rPr>
          <w:rFonts w:ascii="Cambria" w:hAnsi="Cambria" w:cs="Courier New"/>
          <w:b/>
          <w:sz w:val="26"/>
          <w:szCs w:val="26"/>
          <w:u w:val="single"/>
        </w:rPr>
        <w:t>penalidade de suspensão do direito de dirigir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seja imposta, deve observar os casos previstos na legislação de Trânsito em vigor.</w:t>
      </w:r>
    </w:p>
    <w:p w:rsidR="00605AB9" w:rsidRDefault="00605AB9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1151C" w:rsidRDefault="00064CEF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Imputa-se </w:t>
      </w:r>
      <w:r w:rsidR="00605AB9">
        <w:rPr>
          <w:rFonts w:ascii="Cambria" w:hAnsi="Cambria" w:cs="Courier New"/>
          <w:sz w:val="26"/>
          <w:szCs w:val="26"/>
        </w:rPr>
        <w:t>à</w:t>
      </w:r>
      <w:r>
        <w:rPr>
          <w:rFonts w:ascii="Cambria" w:hAnsi="Cambria" w:cs="Courier New"/>
          <w:sz w:val="26"/>
          <w:szCs w:val="26"/>
        </w:rPr>
        <w:t xml:space="preserve"> </w:t>
      </w:r>
      <w:r w:rsidR="00605AB9">
        <w:rPr>
          <w:rFonts w:ascii="Cambria" w:hAnsi="Cambria" w:cs="Courier New"/>
          <w:sz w:val="26"/>
          <w:szCs w:val="26"/>
        </w:rPr>
        <w:t>R</w:t>
      </w:r>
      <w:r>
        <w:rPr>
          <w:rFonts w:ascii="Cambria" w:hAnsi="Cambria" w:cs="Courier New"/>
          <w:sz w:val="26"/>
          <w:szCs w:val="26"/>
        </w:rPr>
        <w:t>ecorrente a</w:t>
      </w:r>
      <w:r w:rsidRPr="00064CEF">
        <w:rPr>
          <w:rFonts w:ascii="Cambria" w:hAnsi="Cambria" w:cs="Courier New"/>
          <w:sz w:val="26"/>
          <w:szCs w:val="26"/>
        </w:rPr>
        <w:t xml:space="preserve"> transgressão às normas estabelecidas no CTB, cuja infraç</w:t>
      </w:r>
      <w:r>
        <w:rPr>
          <w:rFonts w:ascii="Cambria" w:hAnsi="Cambria" w:cs="Courier New"/>
          <w:sz w:val="26"/>
          <w:szCs w:val="26"/>
        </w:rPr>
        <w:t>ão</w:t>
      </w:r>
      <w:r w:rsidRPr="00064CEF">
        <w:rPr>
          <w:rFonts w:ascii="Cambria" w:hAnsi="Cambria" w:cs="Courier New"/>
          <w:sz w:val="26"/>
          <w:szCs w:val="26"/>
        </w:rPr>
        <w:t xml:space="preserve"> </w:t>
      </w:r>
      <w:proofErr w:type="gramStart"/>
      <w:r w:rsidRPr="00064CEF">
        <w:rPr>
          <w:rFonts w:ascii="Cambria" w:hAnsi="Cambria" w:cs="Courier New"/>
          <w:sz w:val="26"/>
          <w:szCs w:val="26"/>
        </w:rPr>
        <w:t>prev</w:t>
      </w:r>
      <w:r>
        <w:rPr>
          <w:rFonts w:ascii="Cambria" w:hAnsi="Cambria" w:cs="Courier New"/>
          <w:sz w:val="26"/>
          <w:szCs w:val="26"/>
        </w:rPr>
        <w:t>ê</w:t>
      </w:r>
      <w:r w:rsidRPr="00064CEF">
        <w:rPr>
          <w:rFonts w:ascii="Cambria" w:hAnsi="Cambria" w:cs="Courier New"/>
          <w:sz w:val="26"/>
          <w:szCs w:val="26"/>
        </w:rPr>
        <w:t>,</w:t>
      </w:r>
      <w:proofErr w:type="gramEnd"/>
      <w:r w:rsidRPr="00064CEF">
        <w:rPr>
          <w:rFonts w:ascii="Cambria" w:hAnsi="Cambria" w:cs="Courier New"/>
          <w:sz w:val="26"/>
          <w:szCs w:val="26"/>
        </w:rPr>
        <w:t xml:space="preserve"> </w:t>
      </w:r>
      <w:r w:rsidR="0061151C" w:rsidRPr="00BF6DB8">
        <w:rPr>
          <w:rFonts w:ascii="Cambria" w:hAnsi="Cambria" w:cs="Courier New"/>
          <w:b/>
          <w:sz w:val="26"/>
          <w:szCs w:val="26"/>
        </w:rPr>
        <w:t>contagem de 20 (vinte) pontos</w:t>
      </w:r>
      <w:r w:rsidRPr="00064CEF">
        <w:rPr>
          <w:rFonts w:ascii="Cambria" w:hAnsi="Cambria" w:cs="Courier New"/>
          <w:sz w:val="26"/>
          <w:szCs w:val="26"/>
        </w:rPr>
        <w:t>, a penalidade de suspensão do direito de dirigir.</w:t>
      </w:r>
    </w:p>
    <w:p w:rsidR="0061151C" w:rsidRDefault="0061151C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F16585" w:rsidRDefault="00A2500C" w:rsidP="00064CEF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Assim, deveria ser fr</w:t>
      </w:r>
      <w:r w:rsidR="0061151C" w:rsidRPr="0061151C">
        <w:rPr>
          <w:rFonts w:ascii="Cambria" w:hAnsi="Cambria" w:cs="Courier New"/>
          <w:sz w:val="26"/>
          <w:szCs w:val="26"/>
        </w:rPr>
        <w:t>anqueado a possibilidade d</w:t>
      </w:r>
      <w:r w:rsidR="003D0C40">
        <w:rPr>
          <w:rFonts w:ascii="Cambria" w:hAnsi="Cambria" w:cs="Courier New"/>
          <w:sz w:val="26"/>
          <w:szCs w:val="26"/>
        </w:rPr>
        <w:t>a</w:t>
      </w:r>
      <w:r w:rsidR="0061151C" w:rsidRPr="0061151C">
        <w:rPr>
          <w:rFonts w:ascii="Cambria" w:hAnsi="Cambria" w:cs="Courier New"/>
          <w:sz w:val="26"/>
          <w:szCs w:val="26"/>
        </w:rPr>
        <w:t xml:space="preserve"> Recorrente apresentar defesas das autuações que ensejaram os 20 (vinte) pontos computados para fins de contagem subsequente</w:t>
      </w:r>
      <w:r w:rsidR="0061151C">
        <w:rPr>
          <w:rFonts w:ascii="Cambria" w:hAnsi="Cambria" w:cs="Courier New"/>
          <w:sz w:val="26"/>
          <w:szCs w:val="26"/>
        </w:rPr>
        <w:t xml:space="preserve">, ou fazer a indicação do real condutor antes de se instaurar o presente procedimento. </w:t>
      </w:r>
    </w:p>
    <w:p w:rsidR="00BF6DB8" w:rsidRPr="00BF6DB8" w:rsidRDefault="003D0C40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 xml:space="preserve">É crível observarmos que o </w:t>
      </w:r>
      <w:r w:rsidR="00BF6DB8" w:rsidRPr="00BF6DB8">
        <w:rPr>
          <w:rFonts w:ascii="Cambria" w:hAnsi="Cambria" w:cs="Courier New"/>
          <w:sz w:val="26"/>
          <w:szCs w:val="26"/>
        </w:rPr>
        <w:t>Art. 261</w:t>
      </w:r>
      <w:r>
        <w:rPr>
          <w:rFonts w:ascii="Cambria" w:hAnsi="Cambria" w:cs="Courier New"/>
          <w:sz w:val="26"/>
          <w:szCs w:val="26"/>
        </w:rPr>
        <w:t>, do CTB determina que a</w:t>
      </w:r>
      <w:r w:rsidR="00BF6DB8" w:rsidRPr="00BF6DB8">
        <w:rPr>
          <w:rFonts w:ascii="Cambria" w:hAnsi="Cambria" w:cs="Courier New"/>
          <w:sz w:val="26"/>
          <w:szCs w:val="26"/>
        </w:rPr>
        <w:t xml:space="preserve"> penalidade de </w:t>
      </w:r>
      <w:r w:rsidR="00BF6DB8" w:rsidRPr="003D0C40">
        <w:rPr>
          <w:rFonts w:ascii="Cambria" w:hAnsi="Cambria" w:cs="Courier New"/>
          <w:b/>
          <w:sz w:val="26"/>
          <w:szCs w:val="26"/>
        </w:rPr>
        <w:t>suspensão do direito de dirigir</w:t>
      </w:r>
      <w:r w:rsidR="00BF6DB8" w:rsidRPr="00BF6DB8">
        <w:rPr>
          <w:rFonts w:ascii="Cambria" w:hAnsi="Cambria" w:cs="Courier New"/>
          <w:sz w:val="26"/>
          <w:szCs w:val="26"/>
        </w:rPr>
        <w:t xml:space="preserve"> será imposta nos seguintes casos: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 xml:space="preserve">I - </w:t>
      </w:r>
      <w:r w:rsidRPr="00BF6DB8">
        <w:rPr>
          <w:rFonts w:ascii="Cambria" w:hAnsi="Cambria" w:cs="Courier New"/>
          <w:b/>
          <w:sz w:val="26"/>
          <w:szCs w:val="26"/>
        </w:rPr>
        <w:t>sempre que o infrator atingir a contagem de 20 (vinte) pontos, no período de 12 (doze) meses, conforme a pontuação prevista no art. 259</w:t>
      </w:r>
      <w:r w:rsidRPr="00BF6DB8">
        <w:rPr>
          <w:rFonts w:ascii="Cambria" w:hAnsi="Cambria" w:cs="Courier New"/>
          <w:sz w:val="26"/>
          <w:szCs w:val="26"/>
        </w:rPr>
        <w:t>;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>II - por transgressão às normas estabelecidas neste Código, cujas infrações preveem, de forma específica, a penalidade de suspensão do direito de dirigir.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1º Os prazos para aplicação da penalidade de suspensão do direito de dirigir são os seguintes: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 - no caso do inciso 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6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(seis) meses a 1 (um) ano e, no caso de reincidência no período de 12 (doze) meses, de 8 (oito) meses a 2 (dois) anos;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II - no caso do inciso II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2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(dois) a 8 (oito) meses, exceto para as infrações com prazo descrito no dispositivo infracional, e, no caso de reincidência no período de 12 (doze) meses, de 8 (oito) a 18 (dezoito) meses, respeitado o disposto no inciso II do art. 263.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2º Quando ocorrer a suspensão do direito de dirigir, a Carteira Nacional de Habilitação será devolvida a seu titular imediatamente </w:t>
      </w:r>
      <w:proofErr w:type="gramStart"/>
      <w:r w:rsidRPr="0061151C">
        <w:rPr>
          <w:rFonts w:ascii="Cambria" w:hAnsi="Cambria" w:cs="Courier New"/>
          <w:sz w:val="20"/>
          <w:szCs w:val="20"/>
        </w:rPr>
        <w:t>após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cumprida a penalidade e o curso de reciclagem.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lastRenderedPageBreak/>
        <w:t>§ 3º A imposição da penalidade de suspensão do direito de dirigir elimina os 20 (vinte) pontos computados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4º (VETADO).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5º O condutor que exerce atividade remunerada em veículo, habilitado na categoria C, D ou E, poderá optar por participar de curso preventivo de reciclagem sempre que, no período de </w:t>
      </w:r>
      <w:proofErr w:type="gramStart"/>
      <w:r w:rsidRPr="0061151C">
        <w:rPr>
          <w:rFonts w:ascii="Cambria" w:hAnsi="Cambria" w:cs="Courier New"/>
          <w:sz w:val="20"/>
          <w:szCs w:val="20"/>
        </w:rPr>
        <w:t>1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(um) ano, atingir 14 (quatorze) pontos, conforme regulamentação do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6º Concluído o curso de reciclagem previsto no § 5o, o condutor terá eliminados os pontos que lhe tiverem sido atribuídos,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7º O motorista que optar pelo curso previsto no § 5º não poderá fazer nova opção no período de 12 (doze) meses.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8º A pessoa jurídica concessionária ou permissionária de serviço público tem o direito de ser informada dos pontos atribuídos, na forma do art. 259, aos motoristas que integrem seu quadro funcional, exercendo atividade remunerada ao volante, na forma que dispuser 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9º Incorrerá na infração prevista no inciso II do art. 162 o condutor que, notificado da penalidade de que trata este artigo, dirigir veículo automotor em via pública.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10. O processo de suspensão do direito de dirigir referente ao inciso II do caput deste artigo deverá ser instaurado concomitantemente com o processo de aplicação da penalidade de multa.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3955C5" w:rsidRPr="0061151C" w:rsidRDefault="00BF6DB8" w:rsidP="0061151C">
      <w:pPr>
        <w:pStyle w:val="NormalWeb"/>
        <w:shd w:val="clear" w:color="auto" w:fill="FFFFFF"/>
        <w:spacing w:before="0" w:beforeAutospacing="0" w:after="0" w:afterAutospacing="0"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11.  O Contran regulamentará as disposições deste artigo.</w:t>
      </w:r>
    </w:p>
    <w:p w:rsidR="0061151C" w:rsidRDefault="0061151C" w:rsidP="00BF6D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Ocorre que, com a nova sistemática trazida pela resolução prefaciada, para sobrevir a</w:t>
      </w:r>
      <w:r w:rsidRPr="003955C5">
        <w:rPr>
          <w:rFonts w:ascii="Cambria" w:hAnsi="Cambria" w:cs="Courier New"/>
          <w:sz w:val="26"/>
          <w:szCs w:val="26"/>
        </w:rPr>
        <w:t xml:space="preserve">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>
        <w:rPr>
          <w:rFonts w:ascii="Cambria" w:hAnsi="Cambria" w:cs="Courier New"/>
          <w:sz w:val="26"/>
          <w:szCs w:val="26"/>
        </w:rPr>
        <w:t>, deve-se e</w:t>
      </w:r>
      <w:r w:rsidRPr="003955C5">
        <w:rPr>
          <w:rFonts w:ascii="Cambria" w:hAnsi="Cambria" w:cs="Courier New"/>
          <w:sz w:val="26"/>
          <w:szCs w:val="26"/>
        </w:rPr>
        <w:t>sgota</w:t>
      </w:r>
      <w:r>
        <w:rPr>
          <w:rFonts w:ascii="Cambria" w:hAnsi="Cambria" w:cs="Courier New"/>
          <w:sz w:val="26"/>
          <w:szCs w:val="26"/>
        </w:rPr>
        <w:t>r</w:t>
      </w:r>
      <w:r w:rsidRPr="003955C5">
        <w:rPr>
          <w:rFonts w:ascii="Cambria" w:hAnsi="Cambria" w:cs="Courier New"/>
          <w:sz w:val="26"/>
          <w:szCs w:val="26"/>
        </w:rPr>
        <w:t xml:space="preserve"> todos os meios de defesa da infração na esfera administrativa.</w:t>
      </w:r>
      <w:r>
        <w:rPr>
          <w:rFonts w:ascii="Cambria" w:hAnsi="Cambria" w:cs="Courier New"/>
          <w:sz w:val="26"/>
          <w:szCs w:val="26"/>
        </w:rPr>
        <w:t xml:space="preserve"> O que não se observa no presente caso. 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Destarte, o</w:t>
      </w:r>
      <w:r w:rsidRPr="003955C5">
        <w:rPr>
          <w:rFonts w:ascii="Cambria" w:hAnsi="Cambria" w:cs="Courier New"/>
          <w:sz w:val="26"/>
          <w:szCs w:val="26"/>
        </w:rPr>
        <w:t xml:space="preserve"> ato instaurador do processo administrativo de suspensão do direito de dirigir de que trata esta Resolução, conterá o nome, a qualificação do infrator, a infração com a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descrição</w:t>
      </w:r>
      <w:r w:rsidRPr="003955C5">
        <w:rPr>
          <w:rFonts w:ascii="Cambria" w:hAnsi="Cambria" w:cs="Courier New"/>
          <w:sz w:val="26"/>
          <w:szCs w:val="26"/>
        </w:rPr>
        <w:t xml:space="preserve"> sucinta dos fatos e a indicação dos dispositivos legais pertinentes.</w:t>
      </w:r>
      <w:r>
        <w:rPr>
          <w:rFonts w:ascii="Cambria" w:hAnsi="Cambria" w:cs="Courier New"/>
          <w:sz w:val="26"/>
          <w:szCs w:val="26"/>
        </w:rPr>
        <w:t xml:space="preserve"> </w:t>
      </w:r>
      <w:r w:rsidRPr="009A6EFB">
        <w:rPr>
          <w:rFonts w:ascii="Cambria" w:hAnsi="Cambria" w:cs="Courier New"/>
          <w:b/>
          <w:sz w:val="26"/>
          <w:szCs w:val="26"/>
          <w:u w:val="single"/>
        </w:rPr>
        <w:t>O que de todo não ocorreu</w:t>
      </w:r>
      <w:r>
        <w:rPr>
          <w:rFonts w:ascii="Cambria" w:hAnsi="Cambria" w:cs="Courier New"/>
          <w:sz w:val="26"/>
          <w:szCs w:val="26"/>
        </w:rPr>
        <w:t>.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A6EFB" w:rsidRDefault="00C4006A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E</w:t>
      </w:r>
      <w:r w:rsidR="009A6EFB">
        <w:rPr>
          <w:rFonts w:ascii="Cambria" w:hAnsi="Cambria" w:cs="Courier New"/>
          <w:sz w:val="26"/>
          <w:szCs w:val="26"/>
        </w:rPr>
        <w:t>m outra</w:t>
      </w:r>
      <w:r>
        <w:rPr>
          <w:rFonts w:ascii="Cambria" w:hAnsi="Cambria" w:cs="Courier New"/>
          <w:sz w:val="26"/>
          <w:szCs w:val="26"/>
        </w:rPr>
        <w:t>s</w:t>
      </w:r>
      <w:r w:rsidR="009A6EFB">
        <w:rPr>
          <w:rFonts w:ascii="Cambria" w:hAnsi="Cambria" w:cs="Courier New"/>
          <w:sz w:val="26"/>
          <w:szCs w:val="26"/>
        </w:rPr>
        <w:t xml:space="preserve"> palavras o ato administrativo instaurador deve conte</w:t>
      </w:r>
      <w:r w:rsidR="00A426F7">
        <w:rPr>
          <w:rFonts w:ascii="Cambria" w:hAnsi="Cambria" w:cs="Courier New"/>
          <w:sz w:val="26"/>
          <w:szCs w:val="26"/>
        </w:rPr>
        <w:t>r</w:t>
      </w:r>
      <w:r w:rsidR="009A6EFB">
        <w:rPr>
          <w:rFonts w:ascii="Cambria" w:hAnsi="Cambria" w:cs="Courier New"/>
          <w:sz w:val="26"/>
          <w:szCs w:val="26"/>
        </w:rPr>
        <w:t>, mesmo que minimamente o delineamento dos fatos, ou seja, cabia à autoridade de trânsito do órgão executivo apontar as infrações e o seu desfecho, tais como se fora apresentada defesas o quais os seus resultados, para só então prosseguir para o ato administrativo perfeito.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Ao invés disso, limitou-se resumidamente </w:t>
      </w:r>
      <w:r w:rsidRPr="009A6EFB">
        <w:rPr>
          <w:rFonts w:ascii="Cambria" w:hAnsi="Cambria" w:cs="Courier New"/>
          <w:sz w:val="26"/>
          <w:szCs w:val="26"/>
        </w:rPr>
        <w:t>em grafar “</w:t>
      </w:r>
      <w:r w:rsidRPr="001C7388">
        <w:rPr>
          <w:rFonts w:ascii="Cambria" w:hAnsi="Cambria" w:cs="Courier New"/>
          <w:i/>
          <w:sz w:val="26"/>
          <w:szCs w:val="26"/>
        </w:rPr>
        <w:t>O Departamento Estadual de Trânsito de São Paulo (DETRAN-SP) notifica-</w:t>
      </w:r>
      <w:proofErr w:type="gramStart"/>
      <w:r w:rsidRPr="001C7388">
        <w:rPr>
          <w:rFonts w:ascii="Cambria" w:hAnsi="Cambria" w:cs="Courier New"/>
          <w:i/>
          <w:sz w:val="26"/>
          <w:szCs w:val="26"/>
        </w:rPr>
        <w:t>o(</w:t>
      </w:r>
      <w:proofErr w:type="gramEnd"/>
      <w:r w:rsidRPr="001C7388">
        <w:rPr>
          <w:rFonts w:ascii="Cambria" w:hAnsi="Cambria" w:cs="Courier New"/>
          <w:i/>
          <w:sz w:val="26"/>
          <w:szCs w:val="26"/>
        </w:rPr>
        <w:t xml:space="preserve">a) da instauração do processo administrativo de suspensão do direito de dirigir por ter cometido, no período de 12 meses, as infrações de trânsito </w:t>
      </w:r>
      <w:r w:rsidRPr="001C7388">
        <w:rPr>
          <w:rFonts w:ascii="Cambria" w:hAnsi="Cambria" w:cs="Courier New"/>
          <w:i/>
          <w:sz w:val="26"/>
          <w:szCs w:val="26"/>
        </w:rPr>
        <w:lastRenderedPageBreak/>
        <w:t xml:space="preserve">abaixo </w:t>
      </w:r>
      <w:r w:rsidR="001C7388" w:rsidRPr="001C7388">
        <w:rPr>
          <w:rFonts w:ascii="Cambria" w:hAnsi="Cambria" w:cs="Courier New"/>
          <w:i/>
          <w:sz w:val="26"/>
          <w:szCs w:val="26"/>
        </w:rPr>
        <w:t>discriminadas</w:t>
      </w:r>
      <w:r w:rsidRPr="001C7388">
        <w:rPr>
          <w:rFonts w:ascii="Cambria" w:hAnsi="Cambria" w:cs="Courier New"/>
          <w:i/>
          <w:sz w:val="26"/>
          <w:szCs w:val="26"/>
        </w:rPr>
        <w:t xml:space="preserve"> que resultaram em 20 pontos, incidindo, assim, no disposto no artigo 261 do código de Trânsito Brasileiro (CTB)</w:t>
      </w:r>
      <w:r w:rsidRPr="009A6EFB">
        <w:rPr>
          <w:rFonts w:ascii="Cambria" w:hAnsi="Cambria" w:cs="Courier New"/>
          <w:sz w:val="26"/>
          <w:szCs w:val="26"/>
        </w:rPr>
        <w:t>.</w:t>
      </w:r>
    </w:p>
    <w:p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Com tal comportamento, ao fazer tal afirmativa o agente público, demonstra parcialidade, sinalizando que a punição já se tem como certa </w:t>
      </w:r>
      <w:proofErr w:type="gramStart"/>
      <w:r>
        <w:rPr>
          <w:rFonts w:ascii="Cambria" w:hAnsi="Cambria" w:cs="Courier New"/>
          <w:sz w:val="26"/>
          <w:szCs w:val="26"/>
        </w:rPr>
        <w:t>à</w:t>
      </w:r>
      <w:proofErr w:type="gramEnd"/>
      <w:r>
        <w:rPr>
          <w:rFonts w:ascii="Cambria" w:hAnsi="Cambria" w:cs="Courier New"/>
          <w:sz w:val="26"/>
          <w:szCs w:val="26"/>
        </w:rPr>
        <w:t xml:space="preserve"> recorrente o que todo é repudiável no direito brasileiro.  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   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Feita estas consideração, a legislação determina que;</w:t>
      </w:r>
      <w:r w:rsidRPr="003955C5">
        <w:t xml:space="preserve"> </w:t>
      </w:r>
      <w:r>
        <w:t>“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 xml:space="preserve">Concluída a análise do processo administrativo, a autoridade do órgão ou entidade de trânsito proferirá decisão motivada e fundamentada </w:t>
      </w:r>
      <w:r>
        <w:rPr>
          <w:rFonts w:ascii="Cambria" w:hAnsi="Cambria" w:cs="Courier New"/>
          <w:sz w:val="26"/>
          <w:szCs w:val="26"/>
        </w:rPr>
        <w:t>(...)</w:t>
      </w:r>
      <w:proofErr w:type="gramStart"/>
      <w:r>
        <w:rPr>
          <w:rFonts w:ascii="Cambria" w:hAnsi="Cambria" w:cs="Courier New"/>
          <w:sz w:val="26"/>
          <w:szCs w:val="26"/>
        </w:rPr>
        <w:t>”</w:t>
      </w:r>
      <w:proofErr w:type="gramEnd"/>
      <w:r>
        <w:rPr>
          <w:rFonts w:ascii="Cambria" w:hAnsi="Cambria" w:cs="Courier New"/>
          <w:sz w:val="26"/>
          <w:szCs w:val="26"/>
        </w:rPr>
        <w:t xml:space="preserve"> 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Pr="003955C5">
        <w:rPr>
          <w:rFonts w:ascii="Cambria" w:hAnsi="Cambria" w:cs="Courier New"/>
          <w:sz w:val="26"/>
          <w:szCs w:val="26"/>
        </w:rPr>
        <w:t xml:space="preserve"> procedimento adotado pelo </w:t>
      </w:r>
      <w:r>
        <w:rPr>
          <w:rFonts w:ascii="Cambria" w:hAnsi="Cambria" w:cs="Courier New"/>
          <w:sz w:val="26"/>
          <w:szCs w:val="26"/>
        </w:rPr>
        <w:t>órgão executivo de trânsito</w:t>
      </w:r>
      <w:r w:rsidRPr="003955C5">
        <w:rPr>
          <w:rFonts w:ascii="Cambria" w:hAnsi="Cambria" w:cs="Courier New"/>
          <w:sz w:val="26"/>
          <w:szCs w:val="26"/>
        </w:rPr>
        <w:t xml:space="preserve"> configura cerceamento de defesa, em afronta ao disposto na </w:t>
      </w:r>
      <w:r w:rsidRPr="003955C5">
        <w:rPr>
          <w:rFonts w:ascii="Cambria" w:hAnsi="Cambria" w:cs="Courier New"/>
          <w:b/>
          <w:sz w:val="26"/>
          <w:szCs w:val="26"/>
        </w:rPr>
        <w:t>Resolução 182/2005, com as alterações da Resolução nº 723 de 2018 do CONTRAN</w:t>
      </w:r>
      <w:r w:rsidRPr="003955C5">
        <w:rPr>
          <w:rFonts w:ascii="Cambria" w:hAnsi="Cambria" w:cs="Courier New"/>
          <w:sz w:val="26"/>
          <w:szCs w:val="26"/>
        </w:rPr>
        <w:t>.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3955C5">
        <w:rPr>
          <w:rFonts w:ascii="Cambria" w:hAnsi="Cambria" w:cs="Courier New"/>
          <w:sz w:val="26"/>
          <w:szCs w:val="26"/>
        </w:rPr>
        <w:t xml:space="preserve"> </w:t>
      </w:r>
      <w:r w:rsidR="00184493" w:rsidRPr="00184493">
        <w:rPr>
          <w:rFonts w:ascii="Cambria" w:hAnsi="Cambria" w:cs="Courier New"/>
          <w:sz w:val="26"/>
          <w:szCs w:val="26"/>
        </w:rPr>
        <w:t xml:space="preserve">Deve-se ponderar que </w:t>
      </w:r>
      <w:r w:rsidR="006C12A7">
        <w:rPr>
          <w:rFonts w:ascii="Cambria" w:hAnsi="Cambria" w:cs="Courier New"/>
          <w:sz w:val="26"/>
          <w:szCs w:val="26"/>
        </w:rPr>
        <w:t>o esgotamento das possibilidade</w:t>
      </w:r>
      <w:r w:rsidR="000D2C0B">
        <w:rPr>
          <w:rFonts w:ascii="Cambria" w:hAnsi="Cambria" w:cs="Courier New"/>
          <w:sz w:val="26"/>
          <w:szCs w:val="26"/>
        </w:rPr>
        <w:t>s</w:t>
      </w:r>
      <w:r w:rsidR="006C12A7">
        <w:rPr>
          <w:rFonts w:ascii="Cambria" w:hAnsi="Cambria" w:cs="Courier New"/>
          <w:sz w:val="26"/>
          <w:szCs w:val="26"/>
        </w:rPr>
        <w:t xml:space="preserve"> de defesa antes das autuações</w:t>
      </w:r>
      <w:r w:rsidR="00184493" w:rsidRPr="00184493">
        <w:rPr>
          <w:rFonts w:ascii="Cambria" w:hAnsi="Cambria" w:cs="Courier New"/>
          <w:sz w:val="26"/>
          <w:szCs w:val="26"/>
        </w:rPr>
        <w:t xml:space="preserve">, pode dar margem </w:t>
      </w:r>
      <w:proofErr w:type="gramStart"/>
      <w:r w:rsidR="00184493" w:rsidRPr="00184493">
        <w:rPr>
          <w:rFonts w:ascii="Cambria" w:hAnsi="Cambria" w:cs="Courier New"/>
          <w:sz w:val="26"/>
          <w:szCs w:val="26"/>
        </w:rPr>
        <w:t>a</w:t>
      </w:r>
      <w:proofErr w:type="gramEnd"/>
      <w:r w:rsidR="00184493" w:rsidRPr="00184493">
        <w:rPr>
          <w:rFonts w:ascii="Cambria" w:hAnsi="Cambria" w:cs="Courier New"/>
          <w:sz w:val="26"/>
          <w:szCs w:val="26"/>
        </w:rPr>
        <w:t xml:space="preserve"> suspeitas de parcialidade do julgador em tais decisões, ferindo assim, um dos princípios da administração pública elencados na Constituição Federal no seu art. 37 </w:t>
      </w:r>
      <w:r w:rsidR="00184493" w:rsidRPr="00184493">
        <w:rPr>
          <w:rFonts w:ascii="Cambria" w:hAnsi="Cambria" w:cs="Courier New"/>
          <w:i/>
          <w:sz w:val="26"/>
          <w:szCs w:val="26"/>
        </w:rPr>
        <w:t>caput</w:t>
      </w:r>
      <w:r w:rsidR="00184493" w:rsidRPr="00184493">
        <w:rPr>
          <w:rFonts w:ascii="Cambria" w:hAnsi="Cambria" w:cs="Courier New"/>
          <w:sz w:val="26"/>
          <w:szCs w:val="26"/>
        </w:rPr>
        <w:t xml:space="preserve"> e gerando um desequilíbrio de direitos, perdendo-se então, a característica de uma decisão justa.</w:t>
      </w:r>
    </w:p>
    <w:p w:rsidR="000E55B0" w:rsidRDefault="000E55B0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Pr="000E55B0" w:rsidRDefault="000D2C0B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 w:rsidRPr="000E55B0">
        <w:rPr>
          <w:rFonts w:ascii="Cambria" w:hAnsi="Cambria" w:cs="Courier New"/>
          <w:b/>
          <w:sz w:val="26"/>
          <w:szCs w:val="26"/>
        </w:rPr>
        <w:t>DA DOUTRINA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Em seu livro intitulado Processo Administrativo Fiscal Federal Comentado Marcos Neder e Maria Tereza López assim dispõe “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 xml:space="preserve">A legalidade do ato administrativo será alcançada e mantida com a conjugação dos princípios: imparcialidade, publicidade, oficialidade,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lastRenderedPageBreak/>
        <w:t>informalidade, verdade material e garantia de defesa.</w:t>
      </w:r>
      <w:r w:rsidRPr="00184493">
        <w:rPr>
          <w:rFonts w:ascii="Cambria" w:hAnsi="Cambria" w:cs="Courier New"/>
          <w:sz w:val="26"/>
          <w:szCs w:val="26"/>
        </w:rPr>
        <w:t>” (NEDER; LÓPEZ, 2004).</w:t>
      </w:r>
      <w:r>
        <w:rPr>
          <w:rFonts w:ascii="Cambria" w:hAnsi="Cambria" w:cs="Courier New"/>
          <w:sz w:val="26"/>
          <w:szCs w:val="26"/>
        </w:rPr>
        <w:t xml:space="preserve"> GRIFEI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Nesse sentido, Ana Clara Victor da Paixão leciona em sua obra </w:t>
      </w:r>
      <w:proofErr w:type="gramStart"/>
      <w:r w:rsidRPr="00184493">
        <w:rPr>
          <w:rFonts w:ascii="Cambria" w:hAnsi="Cambria" w:cs="Courier New"/>
          <w:sz w:val="26"/>
          <w:szCs w:val="26"/>
        </w:rPr>
        <w:t>DEVIDO</w:t>
      </w:r>
      <w:proofErr w:type="gramEnd"/>
      <w:r w:rsidRPr="00184493">
        <w:rPr>
          <w:rFonts w:ascii="Cambria" w:hAnsi="Cambria" w:cs="Courier New"/>
          <w:sz w:val="26"/>
          <w:szCs w:val="26"/>
        </w:rPr>
        <w:t xml:space="preserve"> PROCESSO ADMINISTRATIVO DISCIPLINAR (Apontamentos para a observância do devido processo legal no âmbito administrativo disciplinar), sobre os requisitos do processo administrativo: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“(...) </w:t>
      </w:r>
      <w:r w:rsidRPr="00184493">
        <w:rPr>
          <w:rFonts w:ascii="Cambria" w:hAnsi="Cambria" w:cs="Courier New"/>
          <w:b/>
          <w:i/>
          <w:sz w:val="26"/>
          <w:szCs w:val="26"/>
          <w:u w:val="single"/>
        </w:rPr>
        <w:t>todas as decisões que afetam direitos individuais devem ser suficientemente fundamentadas</w:t>
      </w:r>
      <w:r>
        <w:rPr>
          <w:rFonts w:ascii="Cambria" w:hAnsi="Cambria" w:cs="Courier New"/>
          <w:sz w:val="26"/>
          <w:szCs w:val="26"/>
        </w:rPr>
        <w:t>”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Diante disso, quando concluir pela aplicação de punição ao administrado, a Autoridade Administrativa deverá proferir a sua decisão apoiando-se em razões que permitam conhecer quais foram os elementos que a levaram a decidir da forma que o fez, demonstrando, passo a passo, o processo mental utilizado para chegar à condenação, bem como os critérios jurídicos que a motivaram.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Como ensina EDGARD SILVEIRA BUENO FILHO, a necessidade de motivação dos atos administrativos decisórios é decorrência direta dos princípios da administração pública, elencados no caput do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artigo 37 da Constituição Federal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 efeito, como se pode aferir a obediência aos princípios da legalidade, impessoalidade e moralidade se os atos não se encontram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motivados ou fundamentados</w:t>
      </w:r>
      <w:r w:rsidRPr="00184493">
        <w:rPr>
          <w:rFonts w:ascii="Cambria" w:hAnsi="Cambria" w:cs="Courier New"/>
          <w:sz w:val="26"/>
          <w:szCs w:val="26"/>
        </w:rPr>
        <w:t>?</w:t>
      </w: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30200" w:rsidRDefault="000A3DEE" w:rsidP="000A3DEE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>Ante tal fato, dado o desequilíbrio entre a</w:t>
      </w:r>
      <w:r w:rsidR="00AF0DD4">
        <w:rPr>
          <w:rFonts w:ascii="Cambria" w:hAnsi="Cambria" w:cs="Calibri Light"/>
          <w:sz w:val="26"/>
          <w:szCs w:val="26"/>
        </w:rPr>
        <w:t xml:space="preserve"> instauração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t xml:space="preserve">Processo Administrativo para Imposição da Penalidade de Suspensão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lastRenderedPageBreak/>
        <w:t>Direito de Dirigir</w:t>
      </w:r>
      <w:r w:rsidRPr="00DB2F81">
        <w:rPr>
          <w:rFonts w:ascii="Cambria" w:hAnsi="Cambria" w:cs="Calibri Light"/>
          <w:sz w:val="26"/>
          <w:szCs w:val="26"/>
        </w:rPr>
        <w:t xml:space="preserve">, é o bastante para requerer seja considerado </w:t>
      </w:r>
      <w:r w:rsidR="00AF0DD4">
        <w:rPr>
          <w:rFonts w:ascii="Cambria" w:hAnsi="Cambria" w:cs="Calibri Light"/>
          <w:sz w:val="26"/>
          <w:szCs w:val="26"/>
        </w:rPr>
        <w:t xml:space="preserve">o presente ato administrativo </w:t>
      </w:r>
      <w:r w:rsidR="00490EF6" w:rsidRPr="00A85B55">
        <w:rPr>
          <w:rFonts w:ascii="Cambria" w:hAnsi="Cambria" w:cs="Calibri Light"/>
          <w:b/>
          <w:sz w:val="26"/>
          <w:szCs w:val="26"/>
        </w:rPr>
        <w:t>IRREGULAR</w:t>
      </w:r>
      <w:r w:rsidRPr="00DB2F81">
        <w:rPr>
          <w:rFonts w:ascii="Cambria" w:hAnsi="Cambria" w:cs="Calibri Light"/>
          <w:sz w:val="26"/>
          <w:szCs w:val="26"/>
        </w:rPr>
        <w:t xml:space="preserve"> </w:t>
      </w:r>
      <w:r w:rsidR="00AF0DD4">
        <w:rPr>
          <w:rFonts w:ascii="Cambria" w:hAnsi="Cambria" w:cs="Calibri Light"/>
          <w:sz w:val="26"/>
          <w:szCs w:val="26"/>
        </w:rPr>
        <w:t>o</w:t>
      </w:r>
      <w:r w:rsidRPr="00DB2F81">
        <w:rPr>
          <w:rFonts w:ascii="Cambria" w:hAnsi="Cambria" w:cs="Calibri Light"/>
          <w:sz w:val="26"/>
          <w:szCs w:val="26"/>
        </w:rPr>
        <w:t xml:space="preserve"> qual deve ser </w:t>
      </w:r>
      <w:r w:rsidR="00A85B55" w:rsidRPr="00A85B55">
        <w:rPr>
          <w:rFonts w:ascii="Cambria" w:hAnsi="Cambria" w:cs="Calibri Light"/>
          <w:b/>
          <w:sz w:val="26"/>
          <w:szCs w:val="26"/>
        </w:rPr>
        <w:t>ARQUIVADO</w:t>
      </w:r>
      <w:r w:rsidR="00A85B55" w:rsidRPr="00DB2F81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 xml:space="preserve">e seu registro julgado </w:t>
      </w:r>
      <w:r w:rsidR="00A85B55" w:rsidRPr="00A85B55">
        <w:rPr>
          <w:rFonts w:ascii="Cambria" w:hAnsi="Cambria" w:cs="Calibri Light"/>
          <w:b/>
          <w:sz w:val="26"/>
          <w:szCs w:val="26"/>
        </w:rPr>
        <w:t>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8216D8">
        <w:rPr>
          <w:rFonts w:ascii="Cambria" w:hAnsi="Cambria" w:cs="Calibri Light"/>
          <w:sz w:val="26"/>
          <w:szCs w:val="26"/>
        </w:rPr>
        <w:t>pois não observou os mandamentos legais notadamente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proofErr w:type="gramStart"/>
      <w:r w:rsidR="008216D8">
        <w:rPr>
          <w:rFonts w:ascii="Cambria" w:hAnsi="Cambria" w:cs="Calibri Light"/>
          <w:sz w:val="26"/>
          <w:szCs w:val="26"/>
        </w:rPr>
        <w:t>aquelas</w:t>
      </w:r>
      <w:proofErr w:type="gramEnd"/>
      <w:r w:rsidR="008216D8">
        <w:rPr>
          <w:rFonts w:ascii="Cambria" w:hAnsi="Cambria" w:cs="Calibri Light"/>
          <w:sz w:val="26"/>
          <w:szCs w:val="26"/>
        </w:rPr>
        <w:t xml:space="preserve"> do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>artigo</w:t>
      </w:r>
      <w:r w:rsidR="00AF0DD4" w:rsidRPr="00DB2F81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265</w:t>
      </w:r>
      <w:r w:rsidRPr="00DB2F81">
        <w:rPr>
          <w:rFonts w:ascii="Cambria" w:hAnsi="Cambria" w:cs="Calibri Light"/>
          <w:sz w:val="26"/>
          <w:szCs w:val="26"/>
        </w:rPr>
        <w:t xml:space="preserve"> do CTB</w:t>
      </w:r>
      <w:r w:rsidR="008216D8">
        <w:rPr>
          <w:rFonts w:ascii="Cambria" w:hAnsi="Cambria" w:cs="Calibri Light"/>
          <w:sz w:val="26"/>
          <w:szCs w:val="26"/>
        </w:rPr>
        <w:t xml:space="preserve"> c/c a</w:t>
      </w:r>
      <w:r w:rsidR="008216D8" w:rsidRPr="008216D8">
        <w:rPr>
          <w:rFonts w:ascii="Cambria" w:hAnsi="Cambria" w:cs="Calibri Light"/>
          <w:sz w:val="26"/>
          <w:szCs w:val="26"/>
        </w:rPr>
        <w:t>rt. 12, da Resolução nº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723/18</w:t>
      </w:r>
      <w:r w:rsidRPr="00DB2F81">
        <w:rPr>
          <w:rFonts w:ascii="Cambria" w:hAnsi="Cambria" w:cs="Calibri Light"/>
          <w:sz w:val="26"/>
          <w:szCs w:val="26"/>
        </w:rPr>
        <w:t>.</w:t>
      </w: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Diante do exposto REQUER-SE </w:t>
      </w:r>
      <w:proofErr w:type="gramStart"/>
      <w:r w:rsidRPr="00E77DE5">
        <w:rPr>
          <w:rFonts w:ascii="Cambria" w:hAnsi="Cambria" w:cs="Calibri Light"/>
          <w:sz w:val="26"/>
          <w:szCs w:val="26"/>
        </w:rPr>
        <w:t>digne-se</w:t>
      </w:r>
      <w:proofErr w:type="gramEnd"/>
      <w:r w:rsidRPr="00E77DE5">
        <w:rPr>
          <w:rFonts w:ascii="Cambria" w:hAnsi="Cambria" w:cs="Calibri Light"/>
          <w:sz w:val="26"/>
          <w:szCs w:val="26"/>
        </w:rPr>
        <w:t xml:space="preserve"> Vossa Senhoria em:</w:t>
      </w:r>
    </w:p>
    <w:p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</w:t>
      </w:r>
      <w:proofErr w:type="gramStart"/>
      <w:r w:rsidRPr="00127F2A">
        <w:rPr>
          <w:rFonts w:ascii="Cambria" w:hAnsi="Cambria" w:cs="Calibri Light"/>
          <w:sz w:val="26"/>
          <w:szCs w:val="26"/>
        </w:rPr>
        <w:t>outrossim</w:t>
      </w:r>
      <w:proofErr w:type="gramEnd"/>
      <w:r w:rsidRPr="00127F2A">
        <w:rPr>
          <w:rFonts w:ascii="Cambria" w:hAnsi="Cambria" w:cs="Calibri Light"/>
          <w:sz w:val="26"/>
          <w:szCs w:val="26"/>
        </w:rPr>
        <w:t xml:space="preserve">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</w:t>
      </w:r>
      <w:proofErr w:type="gramStart"/>
      <w:r w:rsidR="007C05F2" w:rsidRPr="0075643F">
        <w:rPr>
          <w:rFonts w:ascii="Cambria" w:hAnsi="Cambria" w:cs="Calibri Light"/>
          <w:sz w:val="26"/>
          <w:szCs w:val="26"/>
        </w:rPr>
        <w:t>Infração</w:t>
      </w:r>
      <w:r w:rsidR="0077796C">
        <w:rPr>
          <w:rFonts w:ascii="Cambria" w:hAnsi="Cambria" w:cs="Calibri Light"/>
          <w:sz w:val="26"/>
          <w:szCs w:val="26"/>
        </w:rPr>
        <w:t>(</w:t>
      </w:r>
      <w:proofErr w:type="gramEnd"/>
      <w:r w:rsidR="0077796C">
        <w:rPr>
          <w:rFonts w:ascii="Cambria" w:hAnsi="Cambria" w:cs="Calibri Light"/>
          <w:sz w:val="26"/>
          <w:szCs w:val="26"/>
        </w:rPr>
        <w:t>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</w:t>
      </w:r>
      <w:proofErr w:type="gramStart"/>
      <w:r w:rsidRPr="00D75E2C">
        <w:rPr>
          <w:rFonts w:ascii="Cambria" w:hAnsi="Cambria" w:cs="Arial"/>
          <w:sz w:val="26"/>
          <w:szCs w:val="26"/>
          <w:shd w:val="clear" w:color="auto" w:fill="FFFFFF"/>
        </w:rPr>
        <w:t>serem</w:t>
      </w:r>
      <w:proofErr w:type="gramEnd"/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 reivindicados nas próximas fases recursais, a aplicação analógica do </w:t>
      </w:r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FA3765" w:rsidRPr="00D75E2C" w:rsidRDefault="00AF0DD4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BD2C02">
        <w:rPr>
          <w:rFonts w:asciiTheme="majorHAnsi" w:eastAsia="Batang" w:hAnsiTheme="majorHAnsi" w:cs="Calibri Light"/>
          <w:sz w:val="26"/>
          <w:szCs w:val="26"/>
        </w:rPr>
        <w:t>São Paulo</w:t>
      </w:r>
      <w:r w:rsidR="00CA1BC5" w:rsidRPr="007949BC">
        <w:rPr>
          <w:rFonts w:asciiTheme="majorHAnsi" w:eastAsia="Batang" w:hAnsiTheme="majorHAnsi" w:cs="Calibri Light"/>
          <w:sz w:val="26"/>
          <w:szCs w:val="26"/>
        </w:rPr>
        <w:t>/</w:t>
      </w:r>
      <w:r>
        <w:rPr>
          <w:rFonts w:asciiTheme="majorHAnsi" w:eastAsia="Batang" w:hAnsiTheme="majorHAnsi" w:cs="Calibri Light"/>
          <w:sz w:val="26"/>
          <w:szCs w:val="26"/>
        </w:rPr>
        <w:t>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1C7388">
        <w:rPr>
          <w:rFonts w:ascii="Cambria" w:hAnsi="Cambria"/>
          <w:spacing w:val="1"/>
          <w:sz w:val="26"/>
          <w:szCs w:val="26"/>
        </w:rPr>
        <w:t>10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1C7388">
        <w:rPr>
          <w:rFonts w:ascii="Cambria" w:hAnsi="Cambria"/>
          <w:spacing w:val="1"/>
          <w:sz w:val="26"/>
          <w:szCs w:val="26"/>
        </w:rPr>
        <w:t xml:space="preserve">janeiro </w:t>
      </w:r>
      <w:r w:rsidR="00FA3765" w:rsidRPr="00D75E2C">
        <w:rPr>
          <w:rFonts w:ascii="Cambria" w:hAnsi="Cambria"/>
          <w:spacing w:val="1"/>
          <w:sz w:val="26"/>
          <w:szCs w:val="26"/>
        </w:rPr>
        <w:t>de 201</w:t>
      </w:r>
      <w:r w:rsidR="001C7388">
        <w:rPr>
          <w:rFonts w:ascii="Cambria" w:hAnsi="Cambria"/>
          <w:spacing w:val="1"/>
          <w:sz w:val="26"/>
          <w:szCs w:val="26"/>
        </w:rPr>
        <w:t>9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2960D2" w:rsidRPr="00CF291D" w:rsidRDefault="003879F0" w:rsidP="00CA111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SEU NOME</w:t>
      </w:r>
    </w:p>
    <w:sectPr w:rsidR="002960D2" w:rsidRPr="00CF291D" w:rsidSect="00BD2D53">
      <w:headerReference w:type="default" r:id="rId9"/>
      <w:footerReference w:type="default" r:id="rId10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D8" w:rsidRDefault="00AB6CD8" w:rsidP="008318AA">
      <w:r>
        <w:separator/>
      </w:r>
    </w:p>
  </w:endnote>
  <w:endnote w:type="continuationSeparator" w:id="0">
    <w:p w:rsidR="00AB6CD8" w:rsidRDefault="00AB6CD8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D8" w:rsidRDefault="00AB6CD8" w:rsidP="008318AA">
      <w:r>
        <w:separator/>
      </w:r>
    </w:p>
  </w:footnote>
  <w:footnote w:type="continuationSeparator" w:id="0">
    <w:p w:rsidR="00AB6CD8" w:rsidRDefault="00AB6CD8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0548"/>
      <w:docPartObj>
        <w:docPartGallery w:val="Page Numbers (Top of Page)"/>
        <w:docPartUnique/>
      </w:docPartObj>
    </w:sdtPr>
    <w:sdtEndPr/>
    <w:sdtContent>
      <w:p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1B71ECCC" wp14:editId="7C960939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5"/>
    <w:rsid w:val="000073EF"/>
    <w:rsid w:val="0002286F"/>
    <w:rsid w:val="00022902"/>
    <w:rsid w:val="000229D3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D1322"/>
    <w:rsid w:val="000D2C0B"/>
    <w:rsid w:val="000D3C49"/>
    <w:rsid w:val="000D71E4"/>
    <w:rsid w:val="000E0227"/>
    <w:rsid w:val="000E4625"/>
    <w:rsid w:val="000E55B0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3BE7"/>
    <w:rsid w:val="0073175C"/>
    <w:rsid w:val="00735688"/>
    <w:rsid w:val="0074194A"/>
    <w:rsid w:val="007421FA"/>
    <w:rsid w:val="00742F33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216D8"/>
    <w:rsid w:val="0082408F"/>
    <w:rsid w:val="00826B60"/>
    <w:rsid w:val="008318A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145C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52FB5"/>
    <w:rsid w:val="00A54F13"/>
    <w:rsid w:val="00A61E75"/>
    <w:rsid w:val="00A627BC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B6CD8"/>
    <w:rsid w:val="00AE223D"/>
    <w:rsid w:val="00AE6909"/>
    <w:rsid w:val="00AF0DD4"/>
    <w:rsid w:val="00AF0EF1"/>
    <w:rsid w:val="00AF499D"/>
    <w:rsid w:val="00AF744E"/>
    <w:rsid w:val="00B01A61"/>
    <w:rsid w:val="00B01BB3"/>
    <w:rsid w:val="00B0612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C02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DB8"/>
    <w:rsid w:val="00BF7E7B"/>
    <w:rsid w:val="00C0129B"/>
    <w:rsid w:val="00C33367"/>
    <w:rsid w:val="00C34D8E"/>
    <w:rsid w:val="00C36C43"/>
    <w:rsid w:val="00C4006A"/>
    <w:rsid w:val="00C42E13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25F4D"/>
    <w:rsid w:val="00F33BD0"/>
    <w:rsid w:val="00F367B8"/>
    <w:rsid w:val="00F4422B"/>
    <w:rsid w:val="00F46A69"/>
    <w:rsid w:val="00F477DA"/>
    <w:rsid w:val="00F53FBC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14C2-222E-4DBC-8A31-6D839F26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Usuario</cp:lastModifiedBy>
  <cp:revision>2</cp:revision>
  <cp:lastPrinted>2018-12-21T11:58:00Z</cp:lastPrinted>
  <dcterms:created xsi:type="dcterms:W3CDTF">2019-03-01T10:18:00Z</dcterms:created>
  <dcterms:modified xsi:type="dcterms:W3CDTF">2019-03-01T10:18:00Z</dcterms:modified>
</cp:coreProperties>
</file>